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E9665" w14:textId="77777777" w:rsidR="00B82982" w:rsidRPr="00BA0E97" w:rsidRDefault="00B82982" w:rsidP="00B82982">
      <w:pPr>
        <w:spacing w:after="0"/>
        <w:ind w:firstLine="0"/>
        <w:jc w:val="center"/>
        <w:rPr>
          <w:rFonts w:eastAsia="Times New Roman"/>
          <w:b/>
          <w:bCs/>
          <w:lang w:val="es-US"/>
        </w:rPr>
      </w:pPr>
      <w:r>
        <w:rPr>
          <w:rFonts w:eastAsia="Times New Roman"/>
          <w:b/>
          <w:bCs/>
          <w:lang w:val="es"/>
        </w:rPr>
        <w:t>DOCUMENTO DE INFORMACIÓN PARA LOS VOTANTES</w:t>
      </w:r>
    </w:p>
    <w:p w14:paraId="01DC8147" w14:textId="77777777" w:rsidR="00B82982" w:rsidRPr="00BA0E97" w:rsidRDefault="00B82982" w:rsidP="00B82982">
      <w:pPr>
        <w:spacing w:after="0"/>
        <w:ind w:firstLine="0"/>
        <w:rPr>
          <w:rFonts w:eastAsia="Times New Roman"/>
          <w:b/>
          <w:bCs/>
          <w:lang w:val="es-US"/>
        </w:rPr>
      </w:pPr>
    </w:p>
    <w:p w14:paraId="03583971" w14:textId="420EE844" w:rsidR="00B82982" w:rsidRPr="00BA0E97" w:rsidRDefault="005F57EB" w:rsidP="00B82982">
      <w:pPr>
        <w:keepNext/>
        <w:keepLines/>
        <w:ind w:firstLine="0"/>
        <w:jc w:val="center"/>
        <w:rPr>
          <w:rFonts w:eastAsia="Arial"/>
          <w:b/>
          <w:bCs/>
          <w:u w:val="single"/>
          <w:lang w:val="es-US"/>
        </w:rPr>
      </w:pPr>
      <w:bookmarkStart w:id="0" w:name="_Hlk60158617"/>
      <w:r>
        <w:rPr>
          <w:rFonts w:eastAsia="Arial"/>
          <w:b/>
          <w:bCs/>
          <w:u w:val="single"/>
          <w:lang w:val="es"/>
        </w:rPr>
        <w:t>DISTRITO ESCOLAR INDEPENDIENTE DEL CONDADO DE GLASSCOCK - PROPOSICIÓN A</w:t>
      </w:r>
    </w:p>
    <w:tbl>
      <w:tblPr>
        <w:tblStyle w:val="TableGrid41"/>
        <w:tblW w:w="5134"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124"/>
        <w:gridCol w:w="310"/>
        <w:gridCol w:w="7177"/>
      </w:tblGrid>
      <w:tr w:rsidR="00B82982" w:rsidRPr="00B82982" w14:paraId="13980BF1" w14:textId="77777777" w:rsidTr="00BA0E97">
        <w:trPr>
          <w:trHeight w:val="2430"/>
        </w:trPr>
        <w:tc>
          <w:tcPr>
            <w:tcW w:w="1105" w:type="pct"/>
          </w:tcPr>
          <w:p w14:paraId="757FE5BC" w14:textId="77777777" w:rsidR="00B82982" w:rsidRPr="00B82982" w:rsidRDefault="00B82982" w:rsidP="000A17D5">
            <w:pPr>
              <w:spacing w:after="0"/>
              <w:ind w:firstLine="0"/>
              <w:jc w:val="left"/>
              <w:rPr>
                <w:rFonts w:ascii="Times New Roman" w:eastAsia="Arial" w:hAnsi="Times New Roman"/>
                <w:sz w:val="24"/>
                <w:szCs w:val="24"/>
              </w:rPr>
            </w:pPr>
            <w:r>
              <w:rPr>
                <w:rFonts w:ascii="Times New Roman" w:eastAsia="Arial" w:hAnsi="Times New Roman"/>
                <w:sz w:val="24"/>
                <w:szCs w:val="24"/>
                <w:lang w:val="es"/>
              </w:rPr>
              <w:t>[  ] A FAVOR</w:t>
            </w:r>
          </w:p>
          <w:p w14:paraId="469D49F1" w14:textId="77777777" w:rsidR="00B82982" w:rsidRPr="00B82982" w:rsidRDefault="00B82982" w:rsidP="000A17D5">
            <w:pPr>
              <w:spacing w:after="0"/>
              <w:ind w:firstLine="0"/>
              <w:jc w:val="left"/>
              <w:rPr>
                <w:rFonts w:ascii="Times New Roman" w:eastAsia="Arial" w:hAnsi="Times New Roman"/>
                <w:sz w:val="24"/>
                <w:szCs w:val="24"/>
              </w:rPr>
            </w:pPr>
          </w:p>
          <w:p w14:paraId="1B2A8B14" w14:textId="77777777" w:rsidR="00B82982" w:rsidRPr="00B82982" w:rsidRDefault="00B82982" w:rsidP="000A17D5">
            <w:pPr>
              <w:spacing w:after="0"/>
              <w:ind w:firstLine="0"/>
              <w:jc w:val="left"/>
              <w:rPr>
                <w:rFonts w:ascii="Times New Roman" w:eastAsia="Arial" w:hAnsi="Times New Roman"/>
                <w:sz w:val="24"/>
                <w:szCs w:val="24"/>
              </w:rPr>
            </w:pPr>
          </w:p>
          <w:p w14:paraId="4A2640A7" w14:textId="77777777" w:rsidR="00B82982" w:rsidRPr="00B82982" w:rsidRDefault="00B82982" w:rsidP="000A17D5">
            <w:pPr>
              <w:spacing w:after="0"/>
              <w:ind w:firstLine="0"/>
              <w:jc w:val="left"/>
              <w:rPr>
                <w:rFonts w:ascii="Times New Roman" w:eastAsia="Arial" w:hAnsi="Times New Roman"/>
                <w:sz w:val="24"/>
                <w:szCs w:val="24"/>
              </w:rPr>
            </w:pPr>
          </w:p>
          <w:p w14:paraId="548AFA00" w14:textId="77777777" w:rsidR="00E35E3F" w:rsidRDefault="00E35E3F" w:rsidP="000A17D5">
            <w:pPr>
              <w:spacing w:after="0"/>
              <w:ind w:firstLine="0"/>
              <w:jc w:val="left"/>
              <w:rPr>
                <w:rFonts w:ascii="Times New Roman" w:eastAsia="Arial" w:hAnsi="Times New Roman"/>
                <w:sz w:val="24"/>
                <w:szCs w:val="24"/>
                <w:lang w:val="es"/>
              </w:rPr>
            </w:pPr>
          </w:p>
          <w:p w14:paraId="388B1DF6" w14:textId="277F2A6A" w:rsidR="00B82982" w:rsidRPr="00B82982" w:rsidRDefault="00B82982" w:rsidP="000A17D5">
            <w:pPr>
              <w:spacing w:after="0"/>
              <w:ind w:firstLine="0"/>
              <w:jc w:val="left"/>
              <w:rPr>
                <w:rFonts w:ascii="Times New Roman" w:eastAsia="Arial" w:hAnsi="Times New Roman"/>
                <w:sz w:val="24"/>
                <w:szCs w:val="24"/>
              </w:rPr>
            </w:pPr>
            <w:r>
              <w:rPr>
                <w:rFonts w:ascii="Times New Roman" w:eastAsia="Arial" w:hAnsi="Times New Roman"/>
                <w:sz w:val="24"/>
                <w:szCs w:val="24"/>
                <w:lang w:val="es"/>
              </w:rPr>
              <w:t>[  ] EN CONTRA</w:t>
            </w:r>
          </w:p>
          <w:p w14:paraId="154DC740" w14:textId="77777777" w:rsidR="00B82982" w:rsidRPr="00B82982" w:rsidRDefault="00B82982" w:rsidP="000A17D5">
            <w:pPr>
              <w:spacing w:after="0"/>
              <w:ind w:firstLine="0"/>
              <w:jc w:val="left"/>
              <w:rPr>
                <w:rFonts w:ascii="Times New Roman" w:eastAsia="Arial" w:hAnsi="Times New Roman"/>
                <w:sz w:val="24"/>
                <w:szCs w:val="24"/>
              </w:rPr>
            </w:pPr>
          </w:p>
        </w:tc>
        <w:tc>
          <w:tcPr>
            <w:tcW w:w="161" w:type="pct"/>
            <w:hideMark/>
          </w:tcPr>
          <w:p w14:paraId="63E18C48" w14:textId="77777777" w:rsidR="00B82982" w:rsidRPr="00B82982" w:rsidRDefault="00B82982" w:rsidP="000A17D5">
            <w:pPr>
              <w:spacing w:after="0"/>
              <w:ind w:firstLine="0"/>
              <w:jc w:val="left"/>
              <w:rPr>
                <w:rFonts w:ascii="Times New Roman" w:eastAsia="Arial" w:hAnsi="Times New Roman"/>
                <w:sz w:val="24"/>
                <w:szCs w:val="24"/>
              </w:rPr>
            </w:pPr>
            <w:r>
              <w:rPr>
                <w:rFonts w:ascii="Times New Roman" w:eastAsia="Arial" w:hAnsi="Times New Roman"/>
                <w:sz w:val="24"/>
                <w:szCs w:val="24"/>
                <w:lang w:val="es"/>
              </w:rPr>
              <w:t>)</w:t>
            </w:r>
          </w:p>
          <w:p w14:paraId="5ECFA289" w14:textId="77777777" w:rsidR="00B82982" w:rsidRPr="00B82982" w:rsidRDefault="00B82982" w:rsidP="000A17D5">
            <w:pPr>
              <w:spacing w:after="0"/>
              <w:ind w:firstLine="0"/>
              <w:jc w:val="left"/>
              <w:rPr>
                <w:rFonts w:ascii="Times New Roman" w:eastAsia="Arial" w:hAnsi="Times New Roman"/>
                <w:sz w:val="24"/>
                <w:szCs w:val="24"/>
              </w:rPr>
            </w:pPr>
            <w:r>
              <w:rPr>
                <w:rFonts w:ascii="Times New Roman" w:eastAsia="Arial" w:hAnsi="Times New Roman"/>
                <w:sz w:val="24"/>
                <w:szCs w:val="24"/>
                <w:lang w:val="es"/>
              </w:rPr>
              <w:t>)</w:t>
            </w:r>
          </w:p>
          <w:p w14:paraId="5E9B4FB0" w14:textId="77777777" w:rsidR="00B82982" w:rsidRPr="00B82982" w:rsidRDefault="00B82982" w:rsidP="000A17D5">
            <w:pPr>
              <w:spacing w:after="0"/>
              <w:ind w:firstLine="0"/>
              <w:jc w:val="left"/>
              <w:rPr>
                <w:rFonts w:ascii="Times New Roman" w:eastAsia="Arial" w:hAnsi="Times New Roman"/>
                <w:sz w:val="24"/>
                <w:szCs w:val="24"/>
              </w:rPr>
            </w:pPr>
            <w:r>
              <w:rPr>
                <w:rFonts w:ascii="Times New Roman" w:eastAsia="Arial" w:hAnsi="Times New Roman"/>
                <w:sz w:val="24"/>
                <w:szCs w:val="24"/>
                <w:lang w:val="es"/>
              </w:rPr>
              <w:t>)</w:t>
            </w:r>
          </w:p>
          <w:p w14:paraId="074CFEB0" w14:textId="77777777" w:rsidR="00B82982" w:rsidRPr="00B82982" w:rsidRDefault="00B82982" w:rsidP="000A17D5">
            <w:pPr>
              <w:spacing w:after="0"/>
              <w:ind w:firstLine="0"/>
              <w:jc w:val="left"/>
              <w:rPr>
                <w:rFonts w:ascii="Times New Roman" w:eastAsia="Arial" w:hAnsi="Times New Roman"/>
                <w:sz w:val="24"/>
                <w:szCs w:val="24"/>
              </w:rPr>
            </w:pPr>
            <w:r>
              <w:rPr>
                <w:rFonts w:ascii="Times New Roman" w:eastAsia="Arial" w:hAnsi="Times New Roman"/>
                <w:sz w:val="24"/>
                <w:szCs w:val="24"/>
                <w:lang w:val="es"/>
              </w:rPr>
              <w:t>)</w:t>
            </w:r>
          </w:p>
          <w:p w14:paraId="2FD3610F" w14:textId="77777777" w:rsidR="00B82982" w:rsidRPr="00B82982" w:rsidRDefault="00B82982" w:rsidP="000A17D5">
            <w:pPr>
              <w:spacing w:after="0"/>
              <w:ind w:firstLine="0"/>
              <w:jc w:val="left"/>
              <w:rPr>
                <w:rFonts w:ascii="Times New Roman" w:eastAsia="Arial" w:hAnsi="Times New Roman"/>
                <w:sz w:val="24"/>
                <w:szCs w:val="24"/>
              </w:rPr>
            </w:pPr>
            <w:r>
              <w:rPr>
                <w:rFonts w:ascii="Times New Roman" w:eastAsia="Arial" w:hAnsi="Times New Roman"/>
                <w:sz w:val="24"/>
                <w:szCs w:val="24"/>
                <w:lang w:val="es"/>
              </w:rPr>
              <w:t>)</w:t>
            </w:r>
          </w:p>
          <w:p w14:paraId="5DEEBF5A" w14:textId="0D2AEB10" w:rsidR="00B82982" w:rsidRPr="00B82982" w:rsidRDefault="00B82982" w:rsidP="00BA0E97">
            <w:pPr>
              <w:spacing w:after="0"/>
              <w:ind w:firstLine="0"/>
              <w:jc w:val="left"/>
              <w:rPr>
                <w:rFonts w:ascii="Times New Roman" w:eastAsia="Arial" w:hAnsi="Times New Roman"/>
                <w:sz w:val="24"/>
                <w:szCs w:val="24"/>
              </w:rPr>
            </w:pPr>
            <w:r>
              <w:rPr>
                <w:rFonts w:ascii="Times New Roman" w:eastAsia="Arial" w:hAnsi="Times New Roman"/>
                <w:sz w:val="24"/>
                <w:szCs w:val="24"/>
                <w:lang w:val="es"/>
              </w:rPr>
              <w:t>)</w:t>
            </w:r>
          </w:p>
          <w:p w14:paraId="0673735B" w14:textId="4E38BA90" w:rsidR="00EB68F6" w:rsidRPr="00B82982" w:rsidRDefault="00EB68F6" w:rsidP="000A17D5">
            <w:pPr>
              <w:spacing w:after="0"/>
              <w:ind w:firstLine="0"/>
              <w:jc w:val="left"/>
              <w:rPr>
                <w:rFonts w:ascii="Times New Roman" w:eastAsia="Arial" w:hAnsi="Times New Roman"/>
                <w:sz w:val="24"/>
                <w:szCs w:val="24"/>
              </w:rPr>
            </w:pPr>
            <w:r>
              <w:rPr>
                <w:rFonts w:ascii="Times New Roman" w:eastAsia="Arial" w:hAnsi="Times New Roman"/>
                <w:sz w:val="24"/>
                <w:szCs w:val="24"/>
                <w:lang w:val="es"/>
              </w:rPr>
              <w:t>)</w:t>
            </w:r>
          </w:p>
        </w:tc>
        <w:tc>
          <w:tcPr>
            <w:tcW w:w="3734" w:type="pct"/>
            <w:hideMark/>
          </w:tcPr>
          <w:p w14:paraId="500965ED" w14:textId="42888733" w:rsidR="00B82982" w:rsidRPr="00B82982" w:rsidRDefault="00BA0E97" w:rsidP="00BA0E97">
            <w:pPr>
              <w:spacing w:after="0"/>
              <w:ind w:firstLine="0"/>
              <w:rPr>
                <w:rFonts w:ascii="Times New Roman" w:eastAsia="Arial" w:hAnsi="Times New Roman"/>
                <w:sz w:val="24"/>
                <w:szCs w:val="24"/>
              </w:rPr>
            </w:pPr>
            <w:r w:rsidRPr="00BA0E97">
              <w:rPr>
                <w:rFonts w:ascii="Times New Roman" w:eastAsia="Arial" w:hAnsi="Times New Roman"/>
                <w:sz w:val="24"/>
                <w:szCs w:val="24"/>
                <w:lang w:val="es"/>
              </w:rPr>
              <w:t>LA EMISIÓN DE $40,000,000 EN BONOS PARA EDIFICIOS ESCOLARES PARA LA CONSTRUCCIÓN, LA ADQUISICIÓN Y EL EQUIPAMIENTO DE EDIFICIOS ESCOLARES EN EL DISTRITO, Y EL GRAVAMEN Y LA IMPOSICIÓN DE IMPUESTOS SUFICIENTES PARA PAGAR EL CAPITAL Y EL INTERÉS DE LOS BONOS Y LOS COSTOS DE CUALQUIER ACUERDO DE CRÉDITO. ESTO ES UN AUMENTO AL IMPUESTO PREDIAL</w:t>
            </w:r>
            <w:r w:rsidR="00EB68F6">
              <w:rPr>
                <w:rFonts w:ascii="Times New Roman" w:eastAsia="Arial" w:hAnsi="Times New Roman"/>
                <w:sz w:val="24"/>
                <w:szCs w:val="24"/>
                <w:lang w:val="es"/>
              </w:rPr>
              <w:t xml:space="preserve">. </w:t>
            </w:r>
          </w:p>
        </w:tc>
      </w:tr>
    </w:tbl>
    <w:tbl>
      <w:tblPr>
        <w:tblStyle w:val="TableGrid21"/>
        <w:tblW w:w="9715" w:type="dxa"/>
        <w:tblCellMar>
          <w:top w:w="14" w:type="dxa"/>
          <w:left w:w="115" w:type="dxa"/>
          <w:bottom w:w="14" w:type="dxa"/>
          <w:right w:w="115" w:type="dxa"/>
        </w:tblCellMar>
        <w:tblLook w:val="04A0" w:firstRow="1" w:lastRow="0" w:firstColumn="1" w:lastColumn="0" w:noHBand="0" w:noVBand="1"/>
      </w:tblPr>
      <w:tblGrid>
        <w:gridCol w:w="7333"/>
        <w:gridCol w:w="2382"/>
      </w:tblGrid>
      <w:tr w:rsidR="00B82982" w:rsidRPr="00B82982" w14:paraId="0FB47E2E" w14:textId="77777777" w:rsidTr="000A17D5">
        <w:trPr>
          <w:trHeight w:val="288"/>
        </w:trPr>
        <w:tc>
          <w:tcPr>
            <w:tcW w:w="7333" w:type="dxa"/>
          </w:tcPr>
          <w:p w14:paraId="4B0EE408" w14:textId="77777777" w:rsidR="00B82982" w:rsidRPr="00BA0E97" w:rsidRDefault="00B82982" w:rsidP="00B82982">
            <w:pPr>
              <w:numPr>
                <w:ilvl w:val="0"/>
                <w:numId w:val="28"/>
              </w:numPr>
              <w:spacing w:after="0"/>
              <w:contextualSpacing/>
              <w:rPr>
                <w:rFonts w:eastAsia="Times New Roman"/>
                <w:sz w:val="24"/>
                <w:szCs w:val="24"/>
                <w:lang w:val="es-US"/>
              </w:rPr>
            </w:pPr>
            <w:r>
              <w:rPr>
                <w:rFonts w:eastAsia="Times New Roman"/>
                <w:sz w:val="24"/>
                <w:szCs w:val="24"/>
                <w:lang w:val="es"/>
              </w:rPr>
              <w:t>Capital de las obligaciones de deuda que se ha de autorizar</w:t>
            </w:r>
          </w:p>
        </w:tc>
        <w:tc>
          <w:tcPr>
            <w:tcW w:w="2382" w:type="dxa"/>
            <w:vAlign w:val="center"/>
          </w:tcPr>
          <w:p w14:paraId="154EEBB0" w14:textId="219F7736" w:rsidR="00B82982" w:rsidRPr="00B82982" w:rsidRDefault="00B82982" w:rsidP="005F57EB">
            <w:pPr>
              <w:spacing w:after="0"/>
              <w:ind w:right="165" w:firstLine="0"/>
              <w:jc w:val="right"/>
              <w:rPr>
                <w:rFonts w:eastAsia="Times New Roman"/>
                <w:b/>
                <w:sz w:val="24"/>
                <w:szCs w:val="24"/>
              </w:rPr>
            </w:pPr>
            <w:r>
              <w:rPr>
                <w:rFonts w:eastAsia="Times New Roman"/>
                <w:b/>
                <w:bCs/>
                <w:sz w:val="24"/>
                <w:szCs w:val="24"/>
                <w:lang w:val="es"/>
              </w:rPr>
              <w:t>$40,000,000.00</w:t>
            </w:r>
          </w:p>
        </w:tc>
      </w:tr>
      <w:tr w:rsidR="00B82982" w:rsidRPr="00B82982" w14:paraId="69417781" w14:textId="77777777" w:rsidTr="000A17D5">
        <w:trPr>
          <w:trHeight w:val="288"/>
        </w:trPr>
        <w:tc>
          <w:tcPr>
            <w:tcW w:w="7333" w:type="dxa"/>
          </w:tcPr>
          <w:p w14:paraId="1A5969E1" w14:textId="77777777" w:rsidR="00B82982" w:rsidRPr="00BA0E97" w:rsidRDefault="00B82982" w:rsidP="00B82982">
            <w:pPr>
              <w:numPr>
                <w:ilvl w:val="0"/>
                <w:numId w:val="28"/>
              </w:numPr>
              <w:spacing w:after="0"/>
              <w:contextualSpacing/>
              <w:rPr>
                <w:rFonts w:eastAsia="Times New Roman"/>
                <w:sz w:val="24"/>
                <w:szCs w:val="24"/>
                <w:lang w:val="es-US"/>
              </w:rPr>
            </w:pPr>
            <w:r>
              <w:rPr>
                <w:rFonts w:eastAsia="Times New Roman"/>
                <w:sz w:val="24"/>
                <w:szCs w:val="24"/>
                <w:lang w:val="es"/>
              </w:rPr>
              <w:t>Interés estimado de las obligaciones de deuda que se ha de autorizar</w:t>
            </w:r>
          </w:p>
        </w:tc>
        <w:tc>
          <w:tcPr>
            <w:tcW w:w="2382" w:type="dxa"/>
            <w:shd w:val="clear" w:color="auto" w:fill="auto"/>
            <w:vAlign w:val="center"/>
          </w:tcPr>
          <w:p w14:paraId="733F94EF" w14:textId="5965B7E1" w:rsidR="00B82982" w:rsidRPr="00B82982" w:rsidRDefault="00814014" w:rsidP="00EB68F6">
            <w:pPr>
              <w:spacing w:after="0"/>
              <w:ind w:right="165" w:firstLine="0"/>
              <w:jc w:val="right"/>
              <w:rPr>
                <w:rFonts w:eastAsia="Times New Roman"/>
                <w:b/>
                <w:sz w:val="24"/>
                <w:szCs w:val="24"/>
              </w:rPr>
            </w:pPr>
            <w:r>
              <w:rPr>
                <w:rFonts w:eastAsia="Times New Roman"/>
                <w:b/>
                <w:bCs/>
                <w:sz w:val="24"/>
                <w:szCs w:val="24"/>
                <w:lang w:val="es"/>
              </w:rPr>
              <w:t>$8,096,547</w:t>
            </w:r>
            <w:r w:rsidR="00621363">
              <w:rPr>
                <w:rFonts w:eastAsia="Times New Roman"/>
                <w:b/>
                <w:bCs/>
                <w:sz w:val="24"/>
                <w:szCs w:val="24"/>
                <w:lang w:val="es"/>
              </w:rPr>
              <w:t>.00</w:t>
            </w:r>
          </w:p>
        </w:tc>
      </w:tr>
      <w:tr w:rsidR="00B82982" w:rsidRPr="00B82982" w14:paraId="247A96BD" w14:textId="77777777" w:rsidTr="000A17D5">
        <w:trPr>
          <w:trHeight w:val="288"/>
        </w:trPr>
        <w:tc>
          <w:tcPr>
            <w:tcW w:w="7333" w:type="dxa"/>
          </w:tcPr>
          <w:p w14:paraId="0F92723F" w14:textId="77777777" w:rsidR="00B82982" w:rsidRPr="00BA0E97" w:rsidRDefault="00B82982" w:rsidP="00B82982">
            <w:pPr>
              <w:numPr>
                <w:ilvl w:val="0"/>
                <w:numId w:val="28"/>
              </w:numPr>
              <w:spacing w:after="0"/>
              <w:contextualSpacing/>
              <w:rPr>
                <w:rFonts w:eastAsia="Times New Roman"/>
                <w:sz w:val="24"/>
                <w:szCs w:val="24"/>
                <w:lang w:val="es-US"/>
              </w:rPr>
            </w:pPr>
            <w:r>
              <w:rPr>
                <w:rFonts w:eastAsia="Times New Roman"/>
                <w:sz w:val="24"/>
                <w:szCs w:val="24"/>
                <w:lang w:val="es"/>
              </w:rPr>
              <w:t>Estimado de la combinación de capital e interés requerida para pagar en su totalidad y oportunamente las obligaciones de deuda a autorizar</w:t>
            </w:r>
          </w:p>
        </w:tc>
        <w:tc>
          <w:tcPr>
            <w:tcW w:w="2382" w:type="dxa"/>
            <w:shd w:val="clear" w:color="auto" w:fill="auto"/>
            <w:vAlign w:val="center"/>
          </w:tcPr>
          <w:p w14:paraId="0035A153" w14:textId="37A34925" w:rsidR="00B82982" w:rsidRPr="00B82982" w:rsidRDefault="001252A8" w:rsidP="000A17D5">
            <w:pPr>
              <w:spacing w:after="0"/>
              <w:ind w:right="165" w:firstLine="0"/>
              <w:jc w:val="right"/>
              <w:rPr>
                <w:rFonts w:eastAsia="Times New Roman"/>
                <w:b/>
                <w:sz w:val="24"/>
                <w:szCs w:val="24"/>
              </w:rPr>
            </w:pPr>
            <w:r>
              <w:rPr>
                <w:rFonts w:eastAsia="Times New Roman"/>
                <w:b/>
                <w:bCs/>
                <w:sz w:val="24"/>
                <w:szCs w:val="24"/>
                <w:lang w:val="es"/>
              </w:rPr>
              <w:t>$48,096,547</w:t>
            </w:r>
            <w:r w:rsidR="00621363">
              <w:rPr>
                <w:rFonts w:eastAsia="Times New Roman"/>
                <w:b/>
                <w:bCs/>
                <w:sz w:val="24"/>
                <w:szCs w:val="24"/>
                <w:lang w:val="es"/>
              </w:rPr>
              <w:t>.00</w:t>
            </w:r>
          </w:p>
        </w:tc>
      </w:tr>
      <w:tr w:rsidR="00B82982" w:rsidRPr="00B82982" w14:paraId="1991B327" w14:textId="77777777" w:rsidTr="000A17D5">
        <w:trPr>
          <w:trHeight w:val="288"/>
        </w:trPr>
        <w:tc>
          <w:tcPr>
            <w:tcW w:w="7333" w:type="dxa"/>
          </w:tcPr>
          <w:p w14:paraId="0DF5A33C" w14:textId="77777777" w:rsidR="00B82982" w:rsidRPr="00BA0E97" w:rsidRDefault="00B82982" w:rsidP="00B82982">
            <w:pPr>
              <w:numPr>
                <w:ilvl w:val="0"/>
                <w:numId w:val="28"/>
              </w:numPr>
              <w:spacing w:after="0"/>
              <w:contextualSpacing/>
              <w:rPr>
                <w:rFonts w:eastAsia="Times New Roman"/>
                <w:sz w:val="24"/>
                <w:szCs w:val="24"/>
                <w:lang w:val="es-US"/>
              </w:rPr>
            </w:pPr>
            <w:r>
              <w:rPr>
                <w:rFonts w:eastAsia="Times New Roman"/>
                <w:sz w:val="24"/>
                <w:szCs w:val="24"/>
                <w:lang w:val="es"/>
              </w:rPr>
              <w:t>Capital de todas las obligaciones de deuda pendientes del Distrito*</w:t>
            </w:r>
          </w:p>
        </w:tc>
        <w:tc>
          <w:tcPr>
            <w:tcW w:w="2382" w:type="dxa"/>
            <w:shd w:val="clear" w:color="auto" w:fill="auto"/>
            <w:vAlign w:val="center"/>
          </w:tcPr>
          <w:p w14:paraId="2383FD1B" w14:textId="38DE78EF" w:rsidR="00B82982" w:rsidRPr="00B82982" w:rsidRDefault="00B82982" w:rsidP="005F57EB">
            <w:pPr>
              <w:spacing w:after="0"/>
              <w:ind w:right="165" w:firstLine="0"/>
              <w:jc w:val="right"/>
              <w:rPr>
                <w:rFonts w:eastAsia="Times New Roman"/>
                <w:b/>
                <w:sz w:val="24"/>
                <w:szCs w:val="24"/>
              </w:rPr>
            </w:pPr>
            <w:r>
              <w:rPr>
                <w:rFonts w:eastAsia="Times New Roman"/>
                <w:b/>
                <w:bCs/>
                <w:sz w:val="24"/>
                <w:szCs w:val="24"/>
                <w:lang w:val="es"/>
              </w:rPr>
              <w:t>$6,825,000</w:t>
            </w:r>
            <w:r w:rsidR="00621363">
              <w:rPr>
                <w:rFonts w:eastAsia="Times New Roman"/>
                <w:b/>
                <w:bCs/>
                <w:sz w:val="24"/>
                <w:szCs w:val="24"/>
                <w:lang w:val="es"/>
              </w:rPr>
              <w:t>.00</w:t>
            </w:r>
          </w:p>
        </w:tc>
      </w:tr>
      <w:tr w:rsidR="00B82982" w:rsidRPr="00B82982" w14:paraId="1FE2FA6E" w14:textId="77777777" w:rsidTr="000A17D5">
        <w:trPr>
          <w:trHeight w:val="288"/>
        </w:trPr>
        <w:tc>
          <w:tcPr>
            <w:tcW w:w="7333" w:type="dxa"/>
          </w:tcPr>
          <w:p w14:paraId="05929771" w14:textId="77777777" w:rsidR="00B82982" w:rsidRPr="00BA0E97" w:rsidRDefault="00B82982" w:rsidP="00B82982">
            <w:pPr>
              <w:numPr>
                <w:ilvl w:val="0"/>
                <w:numId w:val="28"/>
              </w:numPr>
              <w:spacing w:after="0"/>
              <w:contextualSpacing/>
              <w:rPr>
                <w:rFonts w:eastAsia="Times New Roman"/>
                <w:sz w:val="24"/>
                <w:szCs w:val="24"/>
                <w:lang w:val="es-US"/>
              </w:rPr>
            </w:pPr>
            <w:r>
              <w:rPr>
                <w:rFonts w:eastAsia="Times New Roman"/>
                <w:sz w:val="24"/>
                <w:szCs w:val="24"/>
                <w:lang w:val="es"/>
              </w:rPr>
              <w:t>Interés estimado restante sobre todas las obligaciones de deuda pendientes del Distrito*</w:t>
            </w:r>
          </w:p>
        </w:tc>
        <w:tc>
          <w:tcPr>
            <w:tcW w:w="2382" w:type="dxa"/>
            <w:shd w:val="clear" w:color="auto" w:fill="auto"/>
            <w:vAlign w:val="center"/>
          </w:tcPr>
          <w:p w14:paraId="63C88D56" w14:textId="0210852A" w:rsidR="00B82982" w:rsidRPr="00B82982" w:rsidRDefault="00B82982" w:rsidP="00B56293">
            <w:pPr>
              <w:spacing w:after="0"/>
              <w:ind w:right="165" w:firstLine="0"/>
              <w:jc w:val="right"/>
              <w:rPr>
                <w:rFonts w:eastAsia="Times New Roman"/>
                <w:b/>
                <w:sz w:val="24"/>
                <w:szCs w:val="24"/>
              </w:rPr>
            </w:pPr>
            <w:r>
              <w:rPr>
                <w:rFonts w:eastAsia="Times New Roman"/>
                <w:b/>
                <w:bCs/>
                <w:sz w:val="24"/>
                <w:szCs w:val="24"/>
                <w:lang w:val="es"/>
              </w:rPr>
              <w:t>$854,850</w:t>
            </w:r>
            <w:r w:rsidR="00621363">
              <w:rPr>
                <w:rFonts w:eastAsia="Times New Roman"/>
                <w:b/>
                <w:bCs/>
                <w:sz w:val="24"/>
                <w:szCs w:val="24"/>
                <w:lang w:val="es"/>
              </w:rPr>
              <w:t>.00</w:t>
            </w:r>
          </w:p>
        </w:tc>
      </w:tr>
      <w:tr w:rsidR="00B82982" w:rsidRPr="00B82982" w14:paraId="54759DC5" w14:textId="77777777" w:rsidTr="000A17D5">
        <w:trPr>
          <w:trHeight w:val="288"/>
        </w:trPr>
        <w:tc>
          <w:tcPr>
            <w:tcW w:w="7333" w:type="dxa"/>
          </w:tcPr>
          <w:p w14:paraId="61AE0DCC" w14:textId="77777777" w:rsidR="00B82982" w:rsidRPr="00BA0E97" w:rsidRDefault="00B82982" w:rsidP="00B82982">
            <w:pPr>
              <w:numPr>
                <w:ilvl w:val="0"/>
                <w:numId w:val="28"/>
              </w:numPr>
              <w:spacing w:after="0"/>
              <w:contextualSpacing/>
              <w:rPr>
                <w:rFonts w:eastAsia="Times New Roman"/>
                <w:sz w:val="24"/>
                <w:szCs w:val="24"/>
                <w:lang w:val="es-US"/>
              </w:rPr>
            </w:pPr>
            <w:r>
              <w:rPr>
                <w:rFonts w:eastAsia="Times New Roman"/>
                <w:sz w:val="24"/>
                <w:szCs w:val="24"/>
                <w:lang w:val="es"/>
              </w:rPr>
              <w:t>Estimado de la combinación de capital e interés requerida para pagar en su totalidad y oportunamente todas las obligaciones de deuda pendientes del Distrito*</w:t>
            </w:r>
          </w:p>
        </w:tc>
        <w:tc>
          <w:tcPr>
            <w:tcW w:w="2382" w:type="dxa"/>
            <w:shd w:val="clear" w:color="auto" w:fill="auto"/>
            <w:vAlign w:val="center"/>
          </w:tcPr>
          <w:p w14:paraId="6D544205" w14:textId="0F896C40" w:rsidR="00B82982" w:rsidRPr="00B82982" w:rsidRDefault="00B82982" w:rsidP="00B56293">
            <w:pPr>
              <w:spacing w:after="0"/>
              <w:ind w:right="165" w:firstLine="0"/>
              <w:jc w:val="right"/>
              <w:rPr>
                <w:rFonts w:eastAsia="Times New Roman"/>
                <w:b/>
                <w:sz w:val="24"/>
                <w:szCs w:val="24"/>
              </w:rPr>
            </w:pPr>
            <w:r>
              <w:rPr>
                <w:rFonts w:eastAsia="Times New Roman"/>
                <w:b/>
                <w:bCs/>
                <w:sz w:val="24"/>
                <w:szCs w:val="24"/>
                <w:lang w:val="es"/>
              </w:rPr>
              <w:t>$7,679,850</w:t>
            </w:r>
            <w:r w:rsidR="00621363">
              <w:rPr>
                <w:rFonts w:eastAsia="Times New Roman"/>
                <w:b/>
                <w:bCs/>
                <w:sz w:val="24"/>
                <w:szCs w:val="24"/>
                <w:lang w:val="es"/>
              </w:rPr>
              <w:t>.00</w:t>
            </w:r>
            <w:bookmarkStart w:id="1" w:name="_GoBack"/>
            <w:bookmarkEnd w:id="1"/>
          </w:p>
        </w:tc>
      </w:tr>
      <w:tr w:rsidR="00B82982" w:rsidRPr="00B82982" w14:paraId="05177D0A" w14:textId="77777777" w:rsidTr="000A17D5">
        <w:trPr>
          <w:trHeight w:val="288"/>
        </w:trPr>
        <w:tc>
          <w:tcPr>
            <w:tcW w:w="7333" w:type="dxa"/>
          </w:tcPr>
          <w:p w14:paraId="3F327465" w14:textId="77777777" w:rsidR="00B82982" w:rsidRPr="00BA0E97" w:rsidRDefault="00B82982" w:rsidP="00B82982">
            <w:pPr>
              <w:numPr>
                <w:ilvl w:val="0"/>
                <w:numId w:val="28"/>
              </w:numPr>
              <w:spacing w:after="0"/>
              <w:contextualSpacing/>
              <w:rPr>
                <w:rFonts w:eastAsia="Times New Roman"/>
                <w:sz w:val="24"/>
                <w:szCs w:val="24"/>
                <w:lang w:val="es-US"/>
              </w:rPr>
            </w:pPr>
            <w:r>
              <w:rPr>
                <w:rFonts w:eastAsia="Times New Roman"/>
                <w:sz w:val="24"/>
                <w:szCs w:val="24"/>
                <w:lang w:val="es"/>
              </w:rPr>
              <w:t>Aumento anual, máximo y estimado en la cantidad de impuestos que se impondrían sobre una residencia principal en el Distrito con una tasación fiscal de $100,000 para pagar las obligaciones de deuda a autorizar, si se aprueban, según las suposiciones realizadas por el órgano de gobierno del Distrito</w:t>
            </w:r>
          </w:p>
        </w:tc>
        <w:tc>
          <w:tcPr>
            <w:tcW w:w="2382" w:type="dxa"/>
            <w:vAlign w:val="center"/>
          </w:tcPr>
          <w:p w14:paraId="0DA81AC4" w14:textId="77777777" w:rsidR="00B82982" w:rsidRPr="00B82982" w:rsidRDefault="00B82982" w:rsidP="000A17D5">
            <w:pPr>
              <w:spacing w:after="0"/>
              <w:ind w:right="165" w:firstLine="0"/>
              <w:jc w:val="right"/>
              <w:rPr>
                <w:rFonts w:eastAsia="Times New Roman"/>
                <w:b/>
                <w:sz w:val="24"/>
                <w:szCs w:val="24"/>
              </w:rPr>
            </w:pPr>
            <w:r>
              <w:rPr>
                <w:rFonts w:eastAsia="Times New Roman"/>
                <w:b/>
                <w:bCs/>
                <w:sz w:val="24"/>
                <w:szCs w:val="24"/>
                <w:lang w:val="es"/>
              </w:rPr>
              <w:t>$0.00</w:t>
            </w:r>
          </w:p>
        </w:tc>
      </w:tr>
      <w:tr w:rsidR="00B82982" w:rsidRPr="00BA0E97" w14:paraId="024CCE65" w14:textId="77777777" w:rsidTr="000A17D5">
        <w:trPr>
          <w:trHeight w:val="288"/>
        </w:trPr>
        <w:tc>
          <w:tcPr>
            <w:tcW w:w="7333" w:type="dxa"/>
          </w:tcPr>
          <w:p w14:paraId="7124A612" w14:textId="77777777" w:rsidR="00B82982" w:rsidRPr="00BA0E97" w:rsidRDefault="00B82982" w:rsidP="00B82982">
            <w:pPr>
              <w:numPr>
                <w:ilvl w:val="0"/>
                <w:numId w:val="28"/>
              </w:numPr>
              <w:spacing w:after="0"/>
              <w:contextualSpacing/>
              <w:rPr>
                <w:rFonts w:eastAsia="Times New Roman"/>
                <w:sz w:val="24"/>
                <w:szCs w:val="24"/>
                <w:lang w:val="es-US"/>
              </w:rPr>
            </w:pPr>
            <w:r>
              <w:rPr>
                <w:rFonts w:eastAsia="Times New Roman"/>
                <w:sz w:val="24"/>
                <w:szCs w:val="24"/>
                <w:lang w:val="es"/>
              </w:rPr>
              <w:t xml:space="preserve">Otra información que el Distrito considere relevante o necesaria para explicar la información precedente </w:t>
            </w:r>
          </w:p>
        </w:tc>
        <w:tc>
          <w:tcPr>
            <w:tcW w:w="2382" w:type="dxa"/>
          </w:tcPr>
          <w:p w14:paraId="2603FEA5" w14:textId="77777777" w:rsidR="00B82982" w:rsidRPr="00BA0E97" w:rsidRDefault="00B82982" w:rsidP="000A17D5">
            <w:pPr>
              <w:spacing w:after="0"/>
              <w:ind w:firstLine="0"/>
              <w:jc w:val="center"/>
              <w:rPr>
                <w:rFonts w:eastAsia="Times New Roman"/>
                <w:b/>
                <w:bCs/>
                <w:sz w:val="24"/>
                <w:szCs w:val="24"/>
                <w:lang w:val="es-US"/>
              </w:rPr>
            </w:pPr>
            <w:r>
              <w:rPr>
                <w:rFonts w:eastAsia="Times New Roman"/>
                <w:b/>
                <w:bCs/>
                <w:sz w:val="24"/>
                <w:szCs w:val="24"/>
                <w:lang w:val="es"/>
              </w:rPr>
              <w:t>Consultar las suposiciones importantes expuestas más adelante.</w:t>
            </w:r>
          </w:p>
        </w:tc>
      </w:tr>
    </w:tbl>
    <w:p w14:paraId="5796B2FC" w14:textId="77777777" w:rsidR="00B82982" w:rsidRPr="00BA0E97" w:rsidRDefault="00B82982" w:rsidP="00B82982">
      <w:pPr>
        <w:spacing w:after="0"/>
        <w:ind w:left="360" w:firstLine="0"/>
        <w:rPr>
          <w:lang w:val="es-US"/>
        </w:rPr>
      </w:pPr>
    </w:p>
    <w:p w14:paraId="4B5D5387" w14:textId="77777777" w:rsidR="00B82982" w:rsidRPr="00BA0E97" w:rsidRDefault="00B82982" w:rsidP="00B82982">
      <w:pPr>
        <w:spacing w:after="0"/>
        <w:ind w:left="360" w:firstLine="0"/>
        <w:rPr>
          <w:lang w:val="es-US"/>
        </w:rPr>
      </w:pPr>
      <w:r>
        <w:rPr>
          <w:lang w:val="es"/>
        </w:rPr>
        <w:t xml:space="preserve">* A la fecha de adopción de la Orden de Elección de Bonos del Distrito (definida abajo).  </w:t>
      </w:r>
    </w:p>
    <w:p w14:paraId="565A34B0" w14:textId="77777777" w:rsidR="00B82982" w:rsidRPr="00BA0E97" w:rsidRDefault="00B82982" w:rsidP="00B82982">
      <w:pPr>
        <w:spacing w:after="0"/>
        <w:ind w:firstLine="0"/>
        <w:rPr>
          <w:b/>
          <w:lang w:val="es-US"/>
        </w:rPr>
      </w:pPr>
    </w:p>
    <w:p w14:paraId="5DA42B30" w14:textId="77777777" w:rsidR="00B82982" w:rsidRPr="00BA0E97" w:rsidRDefault="00B82982" w:rsidP="00B82982">
      <w:pPr>
        <w:spacing w:after="0"/>
        <w:ind w:firstLine="0"/>
        <w:jc w:val="left"/>
        <w:rPr>
          <w:b/>
          <w:lang w:val="es-US"/>
        </w:rPr>
      </w:pPr>
    </w:p>
    <w:p w14:paraId="7E19B5D0" w14:textId="77777777" w:rsidR="00B82982" w:rsidRPr="00BA0E97" w:rsidRDefault="00B82982" w:rsidP="00B82982">
      <w:pPr>
        <w:spacing w:after="0"/>
        <w:ind w:firstLine="0"/>
        <w:rPr>
          <w:b/>
          <w:lang w:val="es-US"/>
        </w:rPr>
      </w:pPr>
      <w:r>
        <w:rPr>
          <w:b/>
          <w:bCs/>
          <w:lang w:val="es"/>
        </w:rPr>
        <w:t xml:space="preserve">Suposiciones importantes para las declaraciones anteriores, incluso la declaración 7:  </w:t>
      </w:r>
    </w:p>
    <w:p w14:paraId="3B60E38D" w14:textId="77777777" w:rsidR="00B82982" w:rsidRPr="00BA0E97" w:rsidRDefault="00B82982" w:rsidP="00B82982">
      <w:pPr>
        <w:spacing w:after="0"/>
        <w:ind w:firstLine="0"/>
        <w:rPr>
          <w:b/>
          <w:lang w:val="es-US"/>
        </w:rPr>
      </w:pPr>
    </w:p>
    <w:p w14:paraId="0F065CC9" w14:textId="3A63058B" w:rsidR="003F4174" w:rsidRDefault="00B82982" w:rsidP="00B82982">
      <w:pPr>
        <w:tabs>
          <w:tab w:val="left" w:pos="1440"/>
        </w:tabs>
        <w:spacing w:after="0"/>
        <w:rPr>
          <w:lang w:val="es"/>
        </w:rPr>
      </w:pPr>
      <w:r>
        <w:rPr>
          <w:lang w:val="es"/>
        </w:rPr>
        <w:t xml:space="preserve">(1) </w:t>
      </w:r>
      <w:r>
        <w:rPr>
          <w:lang w:val="es"/>
        </w:rPr>
        <w:tab/>
        <w:t>Amortización supuesta de las obligaciones de deuda del Distrito, incluidas las obligaciones de deuda pendientes y las obligaciones de deuda propuestas:</w:t>
      </w:r>
    </w:p>
    <w:p w14:paraId="03D886FB" w14:textId="77777777" w:rsidR="003F4174" w:rsidRDefault="003F4174">
      <w:pPr>
        <w:spacing w:after="0"/>
        <w:ind w:firstLine="0"/>
        <w:jc w:val="left"/>
        <w:rPr>
          <w:lang w:val="es"/>
        </w:rPr>
      </w:pPr>
      <w:r>
        <w:rPr>
          <w:lang w:val="es"/>
        </w:rPr>
        <w:br w:type="page"/>
      </w:r>
    </w:p>
    <w:p w14:paraId="21F7CC3D" w14:textId="77777777" w:rsidR="00B82982" w:rsidRPr="00BA0E97" w:rsidRDefault="00B82982" w:rsidP="00B82982">
      <w:pPr>
        <w:tabs>
          <w:tab w:val="left" w:pos="1440"/>
        </w:tabs>
        <w:spacing w:after="0"/>
        <w:rPr>
          <w:lang w:val="es-US"/>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365"/>
        <w:gridCol w:w="2365"/>
        <w:gridCol w:w="2365"/>
      </w:tblGrid>
      <w:tr w:rsidR="00ED2D13" w:rsidRPr="00ED2D13" w14:paraId="61136633" w14:textId="77777777" w:rsidTr="00E35E3F">
        <w:trPr>
          <w:trHeight w:val="70"/>
        </w:trPr>
        <w:tc>
          <w:tcPr>
            <w:tcW w:w="2365" w:type="dxa"/>
            <w:shd w:val="clear" w:color="auto" w:fill="auto"/>
            <w:vAlign w:val="center"/>
            <w:hideMark/>
          </w:tcPr>
          <w:p w14:paraId="7C209C0B" w14:textId="77777777" w:rsidR="00ED2D13" w:rsidRPr="00ED2D13" w:rsidRDefault="00ED2D13" w:rsidP="00ED2D13">
            <w:pPr>
              <w:spacing w:after="0"/>
              <w:ind w:firstLine="0"/>
              <w:jc w:val="center"/>
              <w:rPr>
                <w:rFonts w:ascii="Calibri" w:eastAsia="Times New Roman" w:hAnsi="Calibri" w:cs="Calibri"/>
                <w:b/>
                <w:bCs/>
                <w:color w:val="000000"/>
              </w:rPr>
            </w:pPr>
            <w:r>
              <w:rPr>
                <w:rFonts w:ascii="Calibri" w:eastAsia="Times New Roman" w:hAnsi="Calibri" w:cs="Calibri"/>
                <w:b/>
                <w:bCs/>
                <w:color w:val="000000"/>
                <w:lang w:val="es"/>
              </w:rPr>
              <w:t>Año Fiscal</w:t>
            </w:r>
          </w:p>
        </w:tc>
        <w:tc>
          <w:tcPr>
            <w:tcW w:w="2365" w:type="dxa"/>
            <w:shd w:val="clear" w:color="auto" w:fill="auto"/>
            <w:vAlign w:val="center"/>
            <w:hideMark/>
          </w:tcPr>
          <w:p w14:paraId="0A0F3F9F" w14:textId="77777777" w:rsidR="00ED2D13" w:rsidRPr="00ED2D13" w:rsidRDefault="00ED2D13" w:rsidP="00ED2D13">
            <w:pPr>
              <w:spacing w:after="0"/>
              <w:ind w:firstLine="0"/>
              <w:jc w:val="center"/>
              <w:rPr>
                <w:rFonts w:ascii="Calibri" w:eastAsia="Times New Roman" w:hAnsi="Calibri" w:cs="Calibri"/>
                <w:b/>
                <w:bCs/>
                <w:color w:val="000000"/>
              </w:rPr>
            </w:pPr>
            <w:r>
              <w:rPr>
                <w:rFonts w:ascii="Calibri" w:eastAsia="Times New Roman" w:hAnsi="Calibri" w:cs="Calibri"/>
                <w:b/>
                <w:bCs/>
                <w:color w:val="000000"/>
                <w:lang w:val="es"/>
              </w:rPr>
              <w:t>Capital</w:t>
            </w:r>
          </w:p>
        </w:tc>
        <w:tc>
          <w:tcPr>
            <w:tcW w:w="2365" w:type="dxa"/>
            <w:shd w:val="clear" w:color="auto" w:fill="auto"/>
            <w:vAlign w:val="center"/>
            <w:hideMark/>
          </w:tcPr>
          <w:p w14:paraId="0608605A" w14:textId="77777777" w:rsidR="00ED2D13" w:rsidRPr="00ED2D13" w:rsidRDefault="00ED2D13" w:rsidP="00ED2D13">
            <w:pPr>
              <w:spacing w:after="0"/>
              <w:ind w:firstLine="0"/>
              <w:jc w:val="center"/>
              <w:rPr>
                <w:rFonts w:ascii="Calibri" w:eastAsia="Times New Roman" w:hAnsi="Calibri" w:cs="Calibri"/>
                <w:b/>
                <w:bCs/>
                <w:color w:val="000000"/>
              </w:rPr>
            </w:pPr>
            <w:r>
              <w:rPr>
                <w:rFonts w:ascii="Calibri" w:eastAsia="Times New Roman" w:hAnsi="Calibri" w:cs="Calibri"/>
                <w:b/>
                <w:bCs/>
                <w:color w:val="000000"/>
                <w:lang w:val="es"/>
              </w:rPr>
              <w:t>Interés</w:t>
            </w:r>
          </w:p>
        </w:tc>
        <w:tc>
          <w:tcPr>
            <w:tcW w:w="2365" w:type="dxa"/>
            <w:shd w:val="clear" w:color="auto" w:fill="auto"/>
            <w:vAlign w:val="center"/>
            <w:hideMark/>
          </w:tcPr>
          <w:p w14:paraId="0A6508E8" w14:textId="77777777" w:rsidR="00ED2D13" w:rsidRPr="00ED2D13" w:rsidRDefault="00ED2D13" w:rsidP="00ED2D13">
            <w:pPr>
              <w:spacing w:after="0"/>
              <w:ind w:firstLine="0"/>
              <w:jc w:val="center"/>
              <w:rPr>
                <w:rFonts w:ascii="Calibri" w:eastAsia="Times New Roman" w:hAnsi="Calibri" w:cs="Calibri"/>
                <w:b/>
                <w:bCs/>
                <w:color w:val="000000"/>
              </w:rPr>
            </w:pPr>
            <w:r>
              <w:rPr>
                <w:rFonts w:ascii="Calibri" w:eastAsia="Times New Roman" w:hAnsi="Calibri" w:cs="Calibri"/>
                <w:b/>
                <w:bCs/>
                <w:color w:val="000000"/>
                <w:lang w:val="es"/>
              </w:rPr>
              <w:t>Total</w:t>
            </w:r>
          </w:p>
        </w:tc>
      </w:tr>
      <w:tr w:rsidR="00ED2D13" w:rsidRPr="00ED2D13" w14:paraId="14F1B837" w14:textId="77777777" w:rsidTr="00E35E3F">
        <w:trPr>
          <w:trHeight w:val="271"/>
        </w:trPr>
        <w:tc>
          <w:tcPr>
            <w:tcW w:w="2365" w:type="dxa"/>
            <w:shd w:val="clear" w:color="auto" w:fill="auto"/>
            <w:noWrap/>
            <w:vAlign w:val="center"/>
            <w:hideMark/>
          </w:tcPr>
          <w:p w14:paraId="154A6F6C"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2023 - 2024</w:t>
            </w:r>
          </w:p>
        </w:tc>
        <w:tc>
          <w:tcPr>
            <w:tcW w:w="2365" w:type="dxa"/>
            <w:shd w:val="clear" w:color="auto" w:fill="auto"/>
            <w:noWrap/>
            <w:vAlign w:val="center"/>
            <w:hideMark/>
          </w:tcPr>
          <w:p w14:paraId="63A14777" w14:textId="77777777" w:rsidR="00ED2D13" w:rsidRPr="00ED2D13" w:rsidRDefault="00ED2D13" w:rsidP="00ED2D13">
            <w:pPr>
              <w:spacing w:after="0"/>
              <w:ind w:firstLine="0"/>
              <w:jc w:val="center"/>
              <w:rPr>
                <w:rFonts w:ascii="Calibri" w:eastAsia="Times New Roman" w:hAnsi="Calibri" w:cs="Calibri"/>
                <w:color w:val="000000"/>
              </w:rPr>
            </w:pPr>
          </w:p>
        </w:tc>
        <w:tc>
          <w:tcPr>
            <w:tcW w:w="2365" w:type="dxa"/>
            <w:shd w:val="clear" w:color="auto" w:fill="auto"/>
            <w:noWrap/>
            <w:vAlign w:val="center"/>
            <w:hideMark/>
          </w:tcPr>
          <w:p w14:paraId="3D3F9A24"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$90,900</w:t>
            </w:r>
          </w:p>
        </w:tc>
        <w:tc>
          <w:tcPr>
            <w:tcW w:w="2365" w:type="dxa"/>
            <w:shd w:val="clear" w:color="auto" w:fill="auto"/>
            <w:noWrap/>
            <w:vAlign w:val="center"/>
            <w:hideMark/>
          </w:tcPr>
          <w:p w14:paraId="4C091EDC"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$90,900</w:t>
            </w:r>
          </w:p>
        </w:tc>
      </w:tr>
      <w:tr w:rsidR="00ED2D13" w:rsidRPr="00ED2D13" w14:paraId="6005D9F8" w14:textId="77777777" w:rsidTr="00E35E3F">
        <w:trPr>
          <w:trHeight w:val="281"/>
        </w:trPr>
        <w:tc>
          <w:tcPr>
            <w:tcW w:w="2365" w:type="dxa"/>
            <w:shd w:val="clear" w:color="auto" w:fill="auto"/>
            <w:noWrap/>
            <w:vAlign w:val="center"/>
            <w:hideMark/>
          </w:tcPr>
          <w:p w14:paraId="1834C4BD"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2024 - 2025</w:t>
            </w:r>
          </w:p>
        </w:tc>
        <w:tc>
          <w:tcPr>
            <w:tcW w:w="2365" w:type="dxa"/>
            <w:shd w:val="clear" w:color="auto" w:fill="auto"/>
            <w:noWrap/>
            <w:vAlign w:val="center"/>
            <w:hideMark/>
          </w:tcPr>
          <w:p w14:paraId="3B6C4753"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$4,199,655</w:t>
            </w:r>
          </w:p>
        </w:tc>
        <w:tc>
          <w:tcPr>
            <w:tcW w:w="2365" w:type="dxa"/>
            <w:shd w:val="clear" w:color="auto" w:fill="auto"/>
            <w:noWrap/>
            <w:vAlign w:val="center"/>
            <w:hideMark/>
          </w:tcPr>
          <w:p w14:paraId="43F90BA0"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$1,569,950</w:t>
            </w:r>
          </w:p>
        </w:tc>
        <w:tc>
          <w:tcPr>
            <w:tcW w:w="2365" w:type="dxa"/>
            <w:shd w:val="clear" w:color="auto" w:fill="auto"/>
            <w:noWrap/>
            <w:vAlign w:val="center"/>
            <w:hideMark/>
          </w:tcPr>
          <w:p w14:paraId="443FD61C"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$5,769,605</w:t>
            </w:r>
          </w:p>
        </w:tc>
      </w:tr>
      <w:tr w:rsidR="00ED2D13" w:rsidRPr="00ED2D13" w14:paraId="5131D8DA" w14:textId="77777777" w:rsidTr="00E35E3F">
        <w:trPr>
          <w:trHeight w:val="281"/>
        </w:trPr>
        <w:tc>
          <w:tcPr>
            <w:tcW w:w="2365" w:type="dxa"/>
            <w:shd w:val="clear" w:color="auto" w:fill="auto"/>
            <w:noWrap/>
            <w:vAlign w:val="center"/>
            <w:hideMark/>
          </w:tcPr>
          <w:p w14:paraId="5B87EB37"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2025 - 2026</w:t>
            </w:r>
          </w:p>
        </w:tc>
        <w:tc>
          <w:tcPr>
            <w:tcW w:w="2365" w:type="dxa"/>
            <w:shd w:val="clear" w:color="auto" w:fill="auto"/>
            <w:noWrap/>
            <w:vAlign w:val="center"/>
            <w:hideMark/>
          </w:tcPr>
          <w:p w14:paraId="08577AF2"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$4,343,993</w:t>
            </w:r>
          </w:p>
        </w:tc>
        <w:tc>
          <w:tcPr>
            <w:tcW w:w="2365" w:type="dxa"/>
            <w:shd w:val="clear" w:color="auto" w:fill="auto"/>
            <w:noWrap/>
            <w:vAlign w:val="center"/>
            <w:hideMark/>
          </w:tcPr>
          <w:p w14:paraId="1F1440DA"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$1,426,537</w:t>
            </w:r>
          </w:p>
        </w:tc>
        <w:tc>
          <w:tcPr>
            <w:tcW w:w="2365" w:type="dxa"/>
            <w:shd w:val="clear" w:color="auto" w:fill="auto"/>
            <w:noWrap/>
            <w:vAlign w:val="center"/>
            <w:hideMark/>
          </w:tcPr>
          <w:p w14:paraId="6708A1BE"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$5,770,530</w:t>
            </w:r>
          </w:p>
        </w:tc>
      </w:tr>
      <w:tr w:rsidR="00ED2D13" w:rsidRPr="00ED2D13" w14:paraId="746CF48B" w14:textId="77777777" w:rsidTr="00E35E3F">
        <w:trPr>
          <w:trHeight w:val="281"/>
        </w:trPr>
        <w:tc>
          <w:tcPr>
            <w:tcW w:w="2365" w:type="dxa"/>
            <w:shd w:val="clear" w:color="auto" w:fill="auto"/>
            <w:noWrap/>
            <w:vAlign w:val="center"/>
            <w:hideMark/>
          </w:tcPr>
          <w:p w14:paraId="00591371"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2026 - 2027</w:t>
            </w:r>
          </w:p>
        </w:tc>
        <w:tc>
          <w:tcPr>
            <w:tcW w:w="2365" w:type="dxa"/>
            <w:shd w:val="clear" w:color="auto" w:fill="auto"/>
            <w:noWrap/>
            <w:vAlign w:val="center"/>
            <w:hideMark/>
          </w:tcPr>
          <w:p w14:paraId="744B8D45"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$4,492,507</w:t>
            </w:r>
          </w:p>
        </w:tc>
        <w:tc>
          <w:tcPr>
            <w:tcW w:w="2365" w:type="dxa"/>
            <w:shd w:val="clear" w:color="auto" w:fill="auto"/>
            <w:noWrap/>
            <w:vAlign w:val="center"/>
            <w:hideMark/>
          </w:tcPr>
          <w:p w14:paraId="11778B41"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$1,278,197</w:t>
            </w:r>
          </w:p>
        </w:tc>
        <w:tc>
          <w:tcPr>
            <w:tcW w:w="2365" w:type="dxa"/>
            <w:shd w:val="clear" w:color="auto" w:fill="auto"/>
            <w:noWrap/>
            <w:vAlign w:val="center"/>
            <w:hideMark/>
          </w:tcPr>
          <w:p w14:paraId="3225EFCA"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$5,770,705</w:t>
            </w:r>
          </w:p>
        </w:tc>
      </w:tr>
      <w:tr w:rsidR="00ED2D13" w:rsidRPr="00ED2D13" w14:paraId="0B867A28" w14:textId="77777777" w:rsidTr="00E35E3F">
        <w:trPr>
          <w:trHeight w:val="281"/>
        </w:trPr>
        <w:tc>
          <w:tcPr>
            <w:tcW w:w="2365" w:type="dxa"/>
            <w:shd w:val="clear" w:color="auto" w:fill="auto"/>
            <w:noWrap/>
            <w:vAlign w:val="center"/>
            <w:hideMark/>
          </w:tcPr>
          <w:p w14:paraId="12EE625F" w14:textId="23092098"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 xml:space="preserve">2027 </w:t>
            </w:r>
            <w:r w:rsidR="00E35E3F">
              <w:rPr>
                <w:rFonts w:ascii="Calibri" w:eastAsia="Times New Roman" w:hAnsi="Calibri" w:cs="Calibri"/>
                <w:color w:val="000000"/>
                <w:lang w:val="es"/>
              </w:rPr>
              <w:t>–</w:t>
            </w:r>
            <w:r>
              <w:rPr>
                <w:rFonts w:ascii="Calibri" w:eastAsia="Times New Roman" w:hAnsi="Calibri" w:cs="Calibri"/>
                <w:color w:val="000000"/>
                <w:lang w:val="es"/>
              </w:rPr>
              <w:t xml:space="preserve"> 2028</w:t>
            </w:r>
          </w:p>
        </w:tc>
        <w:tc>
          <w:tcPr>
            <w:tcW w:w="2365" w:type="dxa"/>
            <w:shd w:val="clear" w:color="auto" w:fill="auto"/>
            <w:noWrap/>
            <w:vAlign w:val="center"/>
            <w:hideMark/>
          </w:tcPr>
          <w:p w14:paraId="5E40A350"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$4,645,345</w:t>
            </w:r>
          </w:p>
        </w:tc>
        <w:tc>
          <w:tcPr>
            <w:tcW w:w="2365" w:type="dxa"/>
            <w:shd w:val="clear" w:color="auto" w:fill="auto"/>
            <w:noWrap/>
            <w:vAlign w:val="center"/>
            <w:hideMark/>
          </w:tcPr>
          <w:p w14:paraId="70C614DE"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$1,124,785</w:t>
            </w:r>
          </w:p>
        </w:tc>
        <w:tc>
          <w:tcPr>
            <w:tcW w:w="2365" w:type="dxa"/>
            <w:shd w:val="clear" w:color="auto" w:fill="auto"/>
            <w:noWrap/>
            <w:vAlign w:val="center"/>
            <w:hideMark/>
          </w:tcPr>
          <w:p w14:paraId="7A1B7C8F"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$5,770,130</w:t>
            </w:r>
          </w:p>
        </w:tc>
      </w:tr>
      <w:tr w:rsidR="00ED2D13" w:rsidRPr="00ED2D13" w14:paraId="3EB2867B" w14:textId="77777777" w:rsidTr="00E35E3F">
        <w:trPr>
          <w:trHeight w:val="271"/>
        </w:trPr>
        <w:tc>
          <w:tcPr>
            <w:tcW w:w="2365" w:type="dxa"/>
            <w:shd w:val="clear" w:color="auto" w:fill="auto"/>
            <w:noWrap/>
            <w:vAlign w:val="center"/>
            <w:hideMark/>
          </w:tcPr>
          <w:p w14:paraId="4108FBEA" w14:textId="177034D5"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 xml:space="preserve">2028 </w:t>
            </w:r>
            <w:r w:rsidR="00E35E3F">
              <w:rPr>
                <w:rFonts w:ascii="Calibri" w:eastAsia="Times New Roman" w:hAnsi="Calibri" w:cs="Calibri"/>
                <w:color w:val="000000"/>
                <w:lang w:val="es"/>
              </w:rPr>
              <w:t>–</w:t>
            </w:r>
            <w:r>
              <w:rPr>
                <w:rFonts w:ascii="Calibri" w:eastAsia="Times New Roman" w:hAnsi="Calibri" w:cs="Calibri"/>
                <w:color w:val="000000"/>
                <w:lang w:val="es"/>
              </w:rPr>
              <w:t xml:space="preserve"> 2029</w:t>
            </w:r>
          </w:p>
        </w:tc>
        <w:tc>
          <w:tcPr>
            <w:tcW w:w="2365" w:type="dxa"/>
            <w:shd w:val="clear" w:color="auto" w:fill="auto"/>
            <w:noWrap/>
            <w:vAlign w:val="center"/>
            <w:hideMark/>
          </w:tcPr>
          <w:p w14:paraId="10B5205E"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$4,802,657</w:t>
            </w:r>
          </w:p>
        </w:tc>
        <w:tc>
          <w:tcPr>
            <w:tcW w:w="2365" w:type="dxa"/>
            <w:shd w:val="clear" w:color="auto" w:fill="auto"/>
            <w:noWrap/>
            <w:vAlign w:val="center"/>
            <w:hideMark/>
          </w:tcPr>
          <w:p w14:paraId="0FA78041"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$966,148</w:t>
            </w:r>
          </w:p>
        </w:tc>
        <w:tc>
          <w:tcPr>
            <w:tcW w:w="2365" w:type="dxa"/>
            <w:shd w:val="clear" w:color="auto" w:fill="auto"/>
            <w:noWrap/>
            <w:vAlign w:val="center"/>
            <w:hideMark/>
          </w:tcPr>
          <w:p w14:paraId="27F009BE"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$5,768,805</w:t>
            </w:r>
          </w:p>
        </w:tc>
      </w:tr>
      <w:tr w:rsidR="00ED2D13" w:rsidRPr="00ED2D13" w14:paraId="48C2364F" w14:textId="77777777" w:rsidTr="00E35E3F">
        <w:trPr>
          <w:trHeight w:val="271"/>
        </w:trPr>
        <w:tc>
          <w:tcPr>
            <w:tcW w:w="2365" w:type="dxa"/>
            <w:shd w:val="clear" w:color="auto" w:fill="auto"/>
            <w:noWrap/>
            <w:vAlign w:val="center"/>
            <w:hideMark/>
          </w:tcPr>
          <w:p w14:paraId="61DDE8F5" w14:textId="06599AE9"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 xml:space="preserve">2029 </w:t>
            </w:r>
            <w:r w:rsidR="00E35E3F">
              <w:rPr>
                <w:rFonts w:ascii="Calibri" w:eastAsia="Times New Roman" w:hAnsi="Calibri" w:cs="Calibri"/>
                <w:color w:val="000000"/>
                <w:lang w:val="es"/>
              </w:rPr>
              <w:t>–</w:t>
            </w:r>
            <w:r>
              <w:rPr>
                <w:rFonts w:ascii="Calibri" w:eastAsia="Times New Roman" w:hAnsi="Calibri" w:cs="Calibri"/>
                <w:color w:val="000000"/>
                <w:lang w:val="es"/>
              </w:rPr>
              <w:t xml:space="preserve"> 2030</w:t>
            </w:r>
          </w:p>
        </w:tc>
        <w:tc>
          <w:tcPr>
            <w:tcW w:w="2365" w:type="dxa"/>
            <w:shd w:val="clear" w:color="auto" w:fill="auto"/>
            <w:noWrap/>
            <w:vAlign w:val="center"/>
            <w:hideMark/>
          </w:tcPr>
          <w:p w14:paraId="193EFBC3"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$4,964,600</w:t>
            </w:r>
          </w:p>
        </w:tc>
        <w:tc>
          <w:tcPr>
            <w:tcW w:w="2365" w:type="dxa"/>
            <w:shd w:val="clear" w:color="auto" w:fill="auto"/>
            <w:noWrap/>
            <w:vAlign w:val="center"/>
            <w:hideMark/>
          </w:tcPr>
          <w:p w14:paraId="204D2BE1"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$802,130</w:t>
            </w:r>
          </w:p>
        </w:tc>
        <w:tc>
          <w:tcPr>
            <w:tcW w:w="2365" w:type="dxa"/>
            <w:shd w:val="clear" w:color="auto" w:fill="auto"/>
            <w:noWrap/>
            <w:vAlign w:val="center"/>
            <w:hideMark/>
          </w:tcPr>
          <w:p w14:paraId="4B990784"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$5,766,730</w:t>
            </w:r>
          </w:p>
        </w:tc>
      </w:tr>
      <w:tr w:rsidR="00ED2D13" w:rsidRPr="00ED2D13" w14:paraId="39B9B20F" w14:textId="77777777" w:rsidTr="00E35E3F">
        <w:trPr>
          <w:trHeight w:val="281"/>
        </w:trPr>
        <w:tc>
          <w:tcPr>
            <w:tcW w:w="2365" w:type="dxa"/>
            <w:shd w:val="clear" w:color="auto" w:fill="auto"/>
            <w:noWrap/>
            <w:vAlign w:val="center"/>
            <w:hideMark/>
          </w:tcPr>
          <w:p w14:paraId="5DAA48FE" w14:textId="575B050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 xml:space="preserve">2030 </w:t>
            </w:r>
            <w:r w:rsidR="00E35E3F">
              <w:rPr>
                <w:rFonts w:ascii="Calibri" w:eastAsia="Times New Roman" w:hAnsi="Calibri" w:cs="Calibri"/>
                <w:color w:val="000000"/>
                <w:lang w:val="es"/>
              </w:rPr>
              <w:t>–</w:t>
            </w:r>
            <w:r>
              <w:rPr>
                <w:rFonts w:ascii="Calibri" w:eastAsia="Times New Roman" w:hAnsi="Calibri" w:cs="Calibri"/>
                <w:color w:val="000000"/>
                <w:lang w:val="es"/>
              </w:rPr>
              <w:t xml:space="preserve"> 2031</w:t>
            </w:r>
          </w:p>
        </w:tc>
        <w:tc>
          <w:tcPr>
            <w:tcW w:w="2365" w:type="dxa"/>
            <w:shd w:val="clear" w:color="auto" w:fill="auto"/>
            <w:noWrap/>
            <w:vAlign w:val="center"/>
            <w:hideMark/>
          </w:tcPr>
          <w:p w14:paraId="68BF1F5F"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$5,136,336</w:t>
            </w:r>
          </w:p>
        </w:tc>
        <w:tc>
          <w:tcPr>
            <w:tcW w:w="2365" w:type="dxa"/>
            <w:shd w:val="clear" w:color="auto" w:fill="auto"/>
            <w:noWrap/>
            <w:vAlign w:val="center"/>
            <w:hideMark/>
          </w:tcPr>
          <w:p w14:paraId="07237D52"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$632,494</w:t>
            </w:r>
          </w:p>
        </w:tc>
        <w:tc>
          <w:tcPr>
            <w:tcW w:w="2365" w:type="dxa"/>
            <w:shd w:val="clear" w:color="auto" w:fill="auto"/>
            <w:noWrap/>
            <w:vAlign w:val="center"/>
            <w:hideMark/>
          </w:tcPr>
          <w:p w14:paraId="778B654A"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$5,768,830</w:t>
            </w:r>
          </w:p>
        </w:tc>
      </w:tr>
      <w:tr w:rsidR="00ED2D13" w:rsidRPr="00ED2D13" w14:paraId="336E5A40" w14:textId="77777777" w:rsidTr="00E35E3F">
        <w:trPr>
          <w:trHeight w:val="271"/>
        </w:trPr>
        <w:tc>
          <w:tcPr>
            <w:tcW w:w="2365" w:type="dxa"/>
            <w:shd w:val="clear" w:color="auto" w:fill="auto"/>
            <w:noWrap/>
            <w:vAlign w:val="center"/>
            <w:hideMark/>
          </w:tcPr>
          <w:p w14:paraId="23F0ABC3" w14:textId="0CE3F62F"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 xml:space="preserve">2031 </w:t>
            </w:r>
            <w:r w:rsidR="00E35E3F">
              <w:rPr>
                <w:rFonts w:ascii="Calibri" w:eastAsia="Times New Roman" w:hAnsi="Calibri" w:cs="Calibri"/>
                <w:color w:val="000000"/>
                <w:lang w:val="es"/>
              </w:rPr>
              <w:t>–</w:t>
            </w:r>
            <w:r>
              <w:rPr>
                <w:rFonts w:ascii="Calibri" w:eastAsia="Times New Roman" w:hAnsi="Calibri" w:cs="Calibri"/>
                <w:color w:val="000000"/>
                <w:lang w:val="es"/>
              </w:rPr>
              <w:t xml:space="preserve"> 2032</w:t>
            </w:r>
          </w:p>
        </w:tc>
        <w:tc>
          <w:tcPr>
            <w:tcW w:w="2365" w:type="dxa"/>
            <w:shd w:val="clear" w:color="auto" w:fill="auto"/>
            <w:noWrap/>
            <w:vAlign w:val="center"/>
            <w:hideMark/>
          </w:tcPr>
          <w:p w14:paraId="62FA2829"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$4,338,033</w:t>
            </w:r>
          </w:p>
        </w:tc>
        <w:tc>
          <w:tcPr>
            <w:tcW w:w="2365" w:type="dxa"/>
            <w:shd w:val="clear" w:color="auto" w:fill="auto"/>
            <w:noWrap/>
            <w:vAlign w:val="center"/>
            <w:hideMark/>
          </w:tcPr>
          <w:p w14:paraId="31E3A24F"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$471,622</w:t>
            </w:r>
          </w:p>
        </w:tc>
        <w:tc>
          <w:tcPr>
            <w:tcW w:w="2365" w:type="dxa"/>
            <w:shd w:val="clear" w:color="auto" w:fill="auto"/>
            <w:noWrap/>
            <w:vAlign w:val="center"/>
            <w:hideMark/>
          </w:tcPr>
          <w:p w14:paraId="04D67C61"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$4,809,655</w:t>
            </w:r>
          </w:p>
        </w:tc>
      </w:tr>
      <w:tr w:rsidR="00ED2D13" w:rsidRPr="00ED2D13" w14:paraId="08B6D289" w14:textId="77777777" w:rsidTr="00E35E3F">
        <w:trPr>
          <w:trHeight w:val="281"/>
        </w:trPr>
        <w:tc>
          <w:tcPr>
            <w:tcW w:w="2365" w:type="dxa"/>
            <w:shd w:val="clear" w:color="auto" w:fill="auto"/>
            <w:noWrap/>
            <w:vAlign w:val="center"/>
            <w:hideMark/>
          </w:tcPr>
          <w:p w14:paraId="2B8907E4" w14:textId="6155D8D3"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 xml:space="preserve">2032 </w:t>
            </w:r>
            <w:r w:rsidR="00E35E3F">
              <w:rPr>
                <w:rFonts w:ascii="Calibri" w:eastAsia="Times New Roman" w:hAnsi="Calibri" w:cs="Calibri"/>
                <w:color w:val="000000"/>
                <w:lang w:val="es"/>
              </w:rPr>
              <w:t>–</w:t>
            </w:r>
            <w:r>
              <w:rPr>
                <w:rFonts w:ascii="Calibri" w:eastAsia="Times New Roman" w:hAnsi="Calibri" w:cs="Calibri"/>
                <w:color w:val="000000"/>
                <w:lang w:val="es"/>
              </w:rPr>
              <w:t xml:space="preserve"> 2033</w:t>
            </w:r>
          </w:p>
        </w:tc>
        <w:tc>
          <w:tcPr>
            <w:tcW w:w="2365" w:type="dxa"/>
            <w:shd w:val="clear" w:color="auto" w:fill="auto"/>
            <w:noWrap/>
            <w:vAlign w:val="center"/>
            <w:hideMark/>
          </w:tcPr>
          <w:p w14:paraId="430089F9"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$4,489,864</w:t>
            </w:r>
          </w:p>
        </w:tc>
        <w:tc>
          <w:tcPr>
            <w:tcW w:w="2365" w:type="dxa"/>
            <w:shd w:val="clear" w:color="auto" w:fill="auto"/>
            <w:noWrap/>
            <w:vAlign w:val="center"/>
            <w:hideMark/>
          </w:tcPr>
          <w:p w14:paraId="06B9EEA0"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$319,791</w:t>
            </w:r>
          </w:p>
        </w:tc>
        <w:tc>
          <w:tcPr>
            <w:tcW w:w="2365" w:type="dxa"/>
            <w:shd w:val="clear" w:color="auto" w:fill="auto"/>
            <w:noWrap/>
            <w:vAlign w:val="center"/>
            <w:hideMark/>
          </w:tcPr>
          <w:p w14:paraId="26042972"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$4,809,655</w:t>
            </w:r>
          </w:p>
        </w:tc>
      </w:tr>
      <w:tr w:rsidR="00ED2D13" w:rsidRPr="00ED2D13" w14:paraId="767C2E54" w14:textId="77777777" w:rsidTr="00E35E3F">
        <w:trPr>
          <w:trHeight w:val="271"/>
        </w:trPr>
        <w:tc>
          <w:tcPr>
            <w:tcW w:w="2365" w:type="dxa"/>
            <w:shd w:val="clear" w:color="auto" w:fill="auto"/>
            <w:noWrap/>
            <w:vAlign w:val="center"/>
            <w:hideMark/>
          </w:tcPr>
          <w:p w14:paraId="68B77642" w14:textId="5A30F818"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 xml:space="preserve">2033 </w:t>
            </w:r>
            <w:r w:rsidR="00E35E3F">
              <w:rPr>
                <w:rFonts w:ascii="Calibri" w:eastAsia="Times New Roman" w:hAnsi="Calibri" w:cs="Calibri"/>
                <w:color w:val="000000"/>
                <w:lang w:val="es"/>
              </w:rPr>
              <w:t>–</w:t>
            </w:r>
            <w:r>
              <w:rPr>
                <w:rFonts w:ascii="Calibri" w:eastAsia="Times New Roman" w:hAnsi="Calibri" w:cs="Calibri"/>
                <w:color w:val="000000"/>
                <w:lang w:val="es"/>
              </w:rPr>
              <w:t xml:space="preserve"> 2034</w:t>
            </w:r>
          </w:p>
        </w:tc>
        <w:tc>
          <w:tcPr>
            <w:tcW w:w="2365" w:type="dxa"/>
            <w:shd w:val="clear" w:color="auto" w:fill="auto"/>
            <w:noWrap/>
            <w:vAlign w:val="center"/>
            <w:hideMark/>
          </w:tcPr>
          <w:p w14:paraId="6140AD6C"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$4,647,009</w:t>
            </w:r>
          </w:p>
        </w:tc>
        <w:tc>
          <w:tcPr>
            <w:tcW w:w="2365" w:type="dxa"/>
            <w:shd w:val="clear" w:color="auto" w:fill="auto"/>
            <w:noWrap/>
            <w:vAlign w:val="center"/>
            <w:hideMark/>
          </w:tcPr>
          <w:p w14:paraId="0949F436"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$162,645</w:t>
            </w:r>
          </w:p>
        </w:tc>
        <w:tc>
          <w:tcPr>
            <w:tcW w:w="2365" w:type="dxa"/>
            <w:shd w:val="clear" w:color="auto" w:fill="auto"/>
            <w:noWrap/>
            <w:vAlign w:val="center"/>
            <w:hideMark/>
          </w:tcPr>
          <w:p w14:paraId="752A6546" w14:textId="77777777" w:rsidR="00ED2D13" w:rsidRPr="00ED2D13" w:rsidRDefault="00ED2D13" w:rsidP="00ED2D13">
            <w:pPr>
              <w:spacing w:after="0"/>
              <w:ind w:firstLine="0"/>
              <w:jc w:val="center"/>
              <w:rPr>
                <w:rFonts w:ascii="Calibri" w:eastAsia="Times New Roman" w:hAnsi="Calibri" w:cs="Calibri"/>
                <w:color w:val="000000"/>
              </w:rPr>
            </w:pPr>
            <w:r>
              <w:rPr>
                <w:rFonts w:ascii="Calibri" w:eastAsia="Times New Roman" w:hAnsi="Calibri" w:cs="Calibri"/>
                <w:color w:val="000000"/>
                <w:lang w:val="es"/>
              </w:rPr>
              <w:t>$4,809,655</w:t>
            </w:r>
          </w:p>
        </w:tc>
      </w:tr>
    </w:tbl>
    <w:p w14:paraId="1FA2CB2C" w14:textId="77777777" w:rsidR="00ED2D13" w:rsidRPr="00E35E3F" w:rsidRDefault="00ED2D13" w:rsidP="00B82982">
      <w:pPr>
        <w:tabs>
          <w:tab w:val="left" w:pos="1440"/>
        </w:tabs>
        <w:spacing w:after="0"/>
        <w:rPr>
          <w:sz w:val="14"/>
          <w:szCs w:val="14"/>
        </w:rPr>
      </w:pPr>
    </w:p>
    <w:p w14:paraId="43CEB448" w14:textId="1E26B863" w:rsidR="00814014" w:rsidRPr="00BA0E97" w:rsidRDefault="00814014" w:rsidP="00814014">
      <w:pPr>
        <w:tabs>
          <w:tab w:val="left" w:pos="1440"/>
        </w:tabs>
        <w:spacing w:after="0"/>
        <w:ind w:left="1440" w:hanging="720"/>
        <w:rPr>
          <w:lang w:val="es-US"/>
        </w:rPr>
      </w:pPr>
      <w:r>
        <w:rPr>
          <w:lang w:val="es"/>
        </w:rPr>
        <w:t xml:space="preserve">(2) </w:t>
      </w:r>
      <w:r>
        <w:rPr>
          <w:lang w:val="es"/>
        </w:rPr>
        <w:tab/>
        <w:t>Cambios supuestos en tasaciones futuras estimadas en los $9,758,232,378 dentro del Distrito: 0%.</w:t>
      </w:r>
    </w:p>
    <w:p w14:paraId="475CB9CE" w14:textId="77777777" w:rsidR="0091004D" w:rsidRPr="00BA0E97" w:rsidRDefault="0091004D" w:rsidP="0091004D">
      <w:pPr>
        <w:tabs>
          <w:tab w:val="left" w:pos="1440"/>
        </w:tabs>
        <w:spacing w:after="0"/>
        <w:rPr>
          <w:b/>
          <w:sz w:val="12"/>
          <w:szCs w:val="12"/>
          <w:lang w:val="es-US"/>
        </w:rPr>
      </w:pPr>
    </w:p>
    <w:p w14:paraId="19C5CC54" w14:textId="0997A3CD" w:rsidR="00814014" w:rsidRPr="00BA0E97" w:rsidRDefault="00814014" w:rsidP="00B952E4">
      <w:pPr>
        <w:tabs>
          <w:tab w:val="left" w:pos="1440"/>
        </w:tabs>
        <w:spacing w:after="0"/>
        <w:rPr>
          <w:lang w:val="es-US"/>
        </w:rPr>
      </w:pPr>
      <w:r>
        <w:rPr>
          <w:lang w:val="es"/>
        </w:rPr>
        <w:t xml:space="preserve">(3) </w:t>
      </w:r>
      <w:r>
        <w:rPr>
          <w:lang w:val="es"/>
        </w:rPr>
        <w:tab/>
        <w:t>Tasa de interés supuesta sobre las obligaciones de deuda a emitir: 3.5%.</w:t>
      </w:r>
    </w:p>
    <w:p w14:paraId="734F63F6" w14:textId="77777777" w:rsidR="00B82982" w:rsidRPr="00BA0E97" w:rsidRDefault="00B82982" w:rsidP="00B82982">
      <w:pPr>
        <w:tabs>
          <w:tab w:val="left" w:pos="1440"/>
        </w:tabs>
        <w:spacing w:after="0"/>
        <w:rPr>
          <w:sz w:val="12"/>
          <w:szCs w:val="12"/>
          <w:lang w:val="es-US"/>
        </w:rPr>
      </w:pPr>
    </w:p>
    <w:p w14:paraId="47BADBB0" w14:textId="77777777" w:rsidR="00B82982" w:rsidRPr="00BA0E97" w:rsidRDefault="00B82982" w:rsidP="00B82982">
      <w:pPr>
        <w:tabs>
          <w:tab w:val="left" w:pos="1440"/>
        </w:tabs>
        <w:spacing w:after="0"/>
        <w:rPr>
          <w:lang w:val="es-US"/>
        </w:rPr>
      </w:pPr>
      <w:bookmarkStart w:id="2" w:name="_Hlk34759264"/>
      <w:r>
        <w:rPr>
          <w:lang w:val="es"/>
        </w:rPr>
        <w:t xml:space="preserve">(4) </w:t>
      </w:r>
      <w:r>
        <w:rPr>
          <w:lang w:val="es"/>
        </w:rPr>
        <w:tab/>
        <w:t xml:space="preserve">Supone exención estatal obligatoria para residencia principal de $100,000.  </w:t>
      </w:r>
    </w:p>
    <w:bookmarkEnd w:id="2"/>
    <w:p w14:paraId="668ACA93" w14:textId="77777777" w:rsidR="00B82982" w:rsidRPr="00BA0E97" w:rsidRDefault="00B82982" w:rsidP="00B82982">
      <w:pPr>
        <w:tabs>
          <w:tab w:val="left" w:pos="1440"/>
        </w:tabs>
        <w:spacing w:after="0"/>
        <w:rPr>
          <w:sz w:val="12"/>
          <w:szCs w:val="12"/>
          <w:lang w:val="es-US"/>
        </w:rPr>
      </w:pPr>
    </w:p>
    <w:p w14:paraId="758A48DC" w14:textId="77777777" w:rsidR="00B82982" w:rsidRPr="00BA0E97" w:rsidRDefault="00B82982" w:rsidP="00B82982">
      <w:pPr>
        <w:tabs>
          <w:tab w:val="left" w:pos="1440"/>
        </w:tabs>
        <w:spacing w:after="0"/>
        <w:rPr>
          <w:lang w:val="es-US"/>
        </w:rPr>
      </w:pPr>
      <w:r>
        <w:rPr>
          <w:lang w:val="es"/>
        </w:rPr>
        <w:t xml:space="preserve">(5) </w:t>
      </w:r>
      <w:r>
        <w:rPr>
          <w:lang w:val="es"/>
        </w:rPr>
        <w:tab/>
        <w:t xml:space="preserve">Supone que la residencia principal no cumple con los requisitos para exenciones idiosincráticas, incluyendo, pero no limitándose a, (a) la exención estatal obligatoria para residencia principal de $10,000 para adultos mayores y discapacitados (para los que los pagos de impuestos están limitados según el pago de impuestos del propietario en el año en que se obtiene la exención) y (b) la exención para residencia principal para veteranos incapacitados y sus familias, cónyuges sobrevivientes de miembros de las fuerzas armadas fallecidos en combate y cónyuges sobrevivientes de personal de emergencia fallecido o con heridas de muerte en el desempeño de sus funciones.  </w:t>
      </w:r>
    </w:p>
    <w:p w14:paraId="551A097F" w14:textId="77777777" w:rsidR="00B82982" w:rsidRPr="00BA0E97" w:rsidRDefault="00B82982" w:rsidP="00B82982">
      <w:pPr>
        <w:spacing w:after="0"/>
        <w:rPr>
          <w:sz w:val="12"/>
          <w:szCs w:val="12"/>
          <w:lang w:val="es-US"/>
        </w:rPr>
      </w:pPr>
    </w:p>
    <w:p w14:paraId="6323A7A9" w14:textId="029F6321" w:rsidR="00B82982" w:rsidRPr="00BA0E97" w:rsidRDefault="00B82982" w:rsidP="00E35E3F">
      <w:pPr>
        <w:spacing w:after="0"/>
        <w:rPr>
          <w:lang w:val="es-US"/>
        </w:rPr>
      </w:pPr>
      <w:r>
        <w:rPr>
          <w:lang w:val="es"/>
        </w:rPr>
        <w:t xml:space="preserve">Según lo requerido por la Sección 1251.052 del Código de Gobierno de Texas, se ha preparado este Documento de información para los votantes sobre la Proposición A presentada a los votantes en virtud de una Orden para convocar la Elección de Bonos para Edificios Escolares (la “Orden de Elección de Bonos”).  Los estimados contenidos en este documento de información para los votantes: (i) se basan en determinadas suposiciones (incluidas las suposiciones importantes expuestas antes y las suposiciones acerca de las condiciones prevalecientes del mercado y económicas al momento o momentos de emisión de los bonos) y se derivan de las proyecciones obtenidas del asesor financiero del Distrito, (ii) están sujetos a cambios en la medida en que los hechos, las circunstancias y las condiciones reales prevalecientes al momento de emisión de los bonos difieran de tales suposiciones y proyecciones, (iii) se proveen exclusivamente para cumplir con los requisitos de la Sección 1251.052 del Código de Gobierno de Texas y sin ningún otro propósito, sin ninguna garantía de que tales proyecciones se manifestarán y (iv) no están previstos para dar lugar (y expresamente no dan lugar) a un contrato con los votantes ni limitar la autoridad del Distrito de emitir bonos de acuerdo con la Proposición A presentada por la Orden de Elección de Bonos del Distrito.  </w:t>
      </w:r>
      <w:bookmarkEnd w:id="0"/>
    </w:p>
    <w:sectPr w:rsidR="00B82982" w:rsidRPr="00BA0E9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2D40D" w14:textId="77777777" w:rsidR="000A17D5" w:rsidRDefault="000A17D5" w:rsidP="00BD2889">
      <w:pPr>
        <w:spacing w:after="0"/>
      </w:pPr>
      <w:r>
        <w:separator/>
      </w:r>
    </w:p>
  </w:endnote>
  <w:endnote w:type="continuationSeparator" w:id="0">
    <w:p w14:paraId="756AA31A" w14:textId="77777777" w:rsidR="000A17D5" w:rsidRDefault="000A17D5" w:rsidP="00BD2889">
      <w:pPr>
        <w:spacing w:after="0"/>
      </w:pPr>
      <w:r>
        <w:continuationSeparator/>
      </w:r>
    </w:p>
  </w:endnote>
  <w:endnote w:type="continuationNotice" w:id="1">
    <w:p w14:paraId="10508881" w14:textId="77777777" w:rsidR="005307AB" w:rsidRDefault="005307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4442A" w14:textId="77777777" w:rsidR="000A17D5" w:rsidRDefault="000A1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2B8B1" w14:textId="77777777" w:rsidR="000A17D5" w:rsidRDefault="000A17D5">
    <w:pPr>
      <w:pStyle w:val="Footer"/>
    </w:pPr>
  </w:p>
  <w:p w14:paraId="00A43D77" w14:textId="336FE012" w:rsidR="000A17D5" w:rsidRDefault="000A17D5" w:rsidP="00BD2889">
    <w:pPr>
      <w:pStyle w:val="Footer"/>
      <w:jc w:val="left"/>
    </w:pPr>
    <w:r>
      <w:rPr>
        <w:sz w:val="18"/>
        <w:lang w:val="es"/>
      </w:rPr>
      <w:fldChar w:fldCharType="begin"/>
    </w:r>
    <w:r>
      <w:rPr>
        <w:sz w:val="18"/>
        <w:lang w:val="es"/>
      </w:rPr>
      <w:instrText xml:space="preserve"> IF "</w:instrText>
    </w:r>
    <w:r>
      <w:rPr>
        <w:sz w:val="18"/>
        <w:lang w:val="es"/>
      </w:rPr>
      <w:fldChar w:fldCharType="begin"/>
    </w:r>
    <w:r>
      <w:rPr>
        <w:sz w:val="18"/>
        <w:lang w:val="es"/>
      </w:rPr>
      <w:instrText xml:space="preserve"> DOCVARIABLE "SWDocIDLocation" </w:instrText>
    </w:r>
    <w:r>
      <w:rPr>
        <w:sz w:val="18"/>
        <w:lang w:val="es"/>
      </w:rPr>
      <w:fldChar w:fldCharType="separate"/>
    </w:r>
    <w:r w:rsidR="00527302">
      <w:rPr>
        <w:sz w:val="18"/>
        <w:lang w:val="es"/>
      </w:rPr>
      <w:instrText>1</w:instrText>
    </w:r>
    <w:r>
      <w:rPr>
        <w:sz w:val="18"/>
        <w:lang w:val="es"/>
      </w:rPr>
      <w:fldChar w:fldCharType="end"/>
    </w:r>
    <w:r>
      <w:rPr>
        <w:sz w:val="18"/>
        <w:lang w:val="es"/>
      </w:rPr>
      <w:instrText>" = "1" "</w:instrText>
    </w:r>
    <w:r>
      <w:rPr>
        <w:sz w:val="18"/>
        <w:lang w:val="es"/>
      </w:rPr>
      <w:fldChar w:fldCharType="begin"/>
    </w:r>
    <w:r>
      <w:rPr>
        <w:sz w:val="18"/>
        <w:lang w:val="es"/>
      </w:rPr>
      <w:instrText xml:space="preserve"> DOCPROPERTY "SWDocID" </w:instrText>
    </w:r>
    <w:r>
      <w:rPr>
        <w:sz w:val="18"/>
        <w:lang w:val="es"/>
      </w:rPr>
      <w:fldChar w:fldCharType="separate"/>
    </w:r>
    <w:r w:rsidR="00527302">
      <w:rPr>
        <w:sz w:val="18"/>
        <w:lang w:val="es"/>
      </w:rPr>
      <w:instrText>41624408v.1</w:instrText>
    </w:r>
    <w:r>
      <w:rPr>
        <w:sz w:val="18"/>
        <w:lang w:val="es"/>
      </w:rPr>
      <w:fldChar w:fldCharType="end"/>
    </w:r>
    <w:r>
      <w:rPr>
        <w:sz w:val="18"/>
        <w:lang w:val="es"/>
      </w:rPr>
      <w:instrText xml:space="preserve">" "" </w:instrText>
    </w:r>
    <w:r>
      <w:rPr>
        <w:sz w:val="18"/>
        <w:lang w:val="es"/>
      </w:rPr>
      <w:fldChar w:fldCharType="separate"/>
    </w:r>
    <w:r w:rsidR="00527302">
      <w:rPr>
        <w:noProof/>
        <w:sz w:val="18"/>
        <w:lang w:val="es"/>
      </w:rPr>
      <w:t>41624408v.1</w:t>
    </w:r>
    <w:r>
      <w:rPr>
        <w:sz w:val="18"/>
        <w:lang w:val="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02781" w14:textId="77777777" w:rsidR="000A17D5" w:rsidRDefault="000A1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EA537" w14:textId="77777777" w:rsidR="000A17D5" w:rsidRDefault="000A17D5" w:rsidP="00BD2889">
      <w:pPr>
        <w:spacing w:after="0"/>
      </w:pPr>
      <w:r>
        <w:separator/>
      </w:r>
    </w:p>
  </w:footnote>
  <w:footnote w:type="continuationSeparator" w:id="0">
    <w:p w14:paraId="455C744A" w14:textId="77777777" w:rsidR="000A17D5" w:rsidRDefault="000A17D5" w:rsidP="00BD2889">
      <w:pPr>
        <w:spacing w:after="0"/>
      </w:pPr>
      <w:r>
        <w:continuationSeparator/>
      </w:r>
    </w:p>
  </w:footnote>
  <w:footnote w:type="continuationNotice" w:id="1">
    <w:p w14:paraId="5C971803" w14:textId="77777777" w:rsidR="005307AB" w:rsidRDefault="005307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E7D22" w14:textId="77777777" w:rsidR="000A17D5" w:rsidRDefault="000A1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75036" w14:textId="77777777" w:rsidR="000A17D5" w:rsidRDefault="000A1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9361" w14:textId="77777777" w:rsidR="000A17D5" w:rsidRDefault="000A1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6C21"/>
    <w:multiLevelType w:val="multilevel"/>
    <w:tmpl w:val="262A6DBC"/>
    <w:lvl w:ilvl="0">
      <w:start w:val="1"/>
      <w:numFmt w:val="decimal"/>
      <w:pStyle w:val="Heading1"/>
      <w:lvlText w:val="%1."/>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1">
      <w:start w:val="1"/>
      <w:numFmt w:val="lowerLetter"/>
      <w:pStyle w:val="Heading2"/>
      <w:lvlText w:val="%2."/>
      <w:lvlJc w:val="left"/>
      <w:pPr>
        <w:tabs>
          <w:tab w:val="num" w:pos="0"/>
        </w:tabs>
        <w:ind w:left="0" w:firstLine="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2">
      <w:start w:val="1"/>
      <w:numFmt w:val="lowerRoman"/>
      <w:pStyle w:val="Heading3"/>
      <w:lvlText w:val="%3."/>
      <w:lvlJc w:val="left"/>
      <w:pPr>
        <w:tabs>
          <w:tab w:val="num" w:pos="0"/>
        </w:tabs>
        <w:ind w:left="0" w:firstLine="14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upperLetter"/>
      <w:pStyle w:val="Heading4"/>
      <w:lvlText w:val="%4."/>
      <w:lvlJc w:val="left"/>
      <w:pPr>
        <w:tabs>
          <w:tab w:val="num" w:pos="0"/>
        </w:tabs>
        <w:ind w:left="0" w:firstLine="21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decimal"/>
      <w:pStyle w:val="Heading5"/>
      <w:lvlText w:val="(%5)"/>
      <w:lvlJc w:val="left"/>
      <w:pPr>
        <w:tabs>
          <w:tab w:val="num" w:pos="0"/>
        </w:tabs>
        <w:ind w:left="0" w:firstLine="288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lowerLetter"/>
      <w:pStyle w:val="Heading6"/>
      <w:lvlText w:val="(%6)"/>
      <w:lvlJc w:val="left"/>
      <w:pPr>
        <w:tabs>
          <w:tab w:val="num" w:pos="0"/>
        </w:tabs>
        <w:ind w:left="0" w:firstLine="360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lowerRoman"/>
      <w:pStyle w:val="Heading7"/>
      <w:lvlText w:val="(%7)"/>
      <w:lvlJc w:val="left"/>
      <w:pPr>
        <w:tabs>
          <w:tab w:val="num" w:pos="0"/>
        </w:tabs>
        <w:ind w:left="0" w:firstLine="43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upperLetter"/>
      <w:pStyle w:val="Heading8"/>
      <w:lvlText w:val="(%8)"/>
      <w:lvlJc w:val="left"/>
      <w:pPr>
        <w:tabs>
          <w:tab w:val="num" w:pos="0"/>
        </w:tabs>
        <w:ind w:left="0" w:firstLine="50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decimal"/>
      <w:pStyle w:val="Heading9"/>
      <w:lvlText w:val="[%9]"/>
      <w:lvlJc w:val="left"/>
      <w:pPr>
        <w:tabs>
          <w:tab w:val="num" w:pos="0"/>
        </w:tabs>
        <w:ind w:left="0" w:firstLine="57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1" w15:restartNumberingAfterBreak="0">
    <w:nsid w:val="345968E1"/>
    <w:multiLevelType w:val="hybridMultilevel"/>
    <w:tmpl w:val="8A78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7E2237"/>
    <w:multiLevelType w:val="hybridMultilevel"/>
    <w:tmpl w:val="8A78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3969D7"/>
    <w:multiLevelType w:val="hybridMultilevel"/>
    <w:tmpl w:val="8A78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7"/>
    <w:docVar w:name="SWDocIDLocation" w:val="1"/>
  </w:docVars>
  <w:rsids>
    <w:rsidRoot w:val="00B82982"/>
    <w:rsid w:val="00003C00"/>
    <w:rsid w:val="00021C3E"/>
    <w:rsid w:val="000A17D5"/>
    <w:rsid w:val="000B25F7"/>
    <w:rsid w:val="0012252F"/>
    <w:rsid w:val="001252A8"/>
    <w:rsid w:val="00195991"/>
    <w:rsid w:val="001B2F4C"/>
    <w:rsid w:val="00204F59"/>
    <w:rsid w:val="00210DA2"/>
    <w:rsid w:val="002312E0"/>
    <w:rsid w:val="003D4E2B"/>
    <w:rsid w:val="003F4174"/>
    <w:rsid w:val="004967BF"/>
    <w:rsid w:val="004A1385"/>
    <w:rsid w:val="004C6256"/>
    <w:rsid w:val="00507C7B"/>
    <w:rsid w:val="00527302"/>
    <w:rsid w:val="005307AB"/>
    <w:rsid w:val="00551EAC"/>
    <w:rsid w:val="005B41A4"/>
    <w:rsid w:val="005F4F64"/>
    <w:rsid w:val="005F57EB"/>
    <w:rsid w:val="00621363"/>
    <w:rsid w:val="00644E0A"/>
    <w:rsid w:val="00767D13"/>
    <w:rsid w:val="007B652D"/>
    <w:rsid w:val="007D0F37"/>
    <w:rsid w:val="00814014"/>
    <w:rsid w:val="008F69F2"/>
    <w:rsid w:val="0090408A"/>
    <w:rsid w:val="0091004D"/>
    <w:rsid w:val="00983BE1"/>
    <w:rsid w:val="00984021"/>
    <w:rsid w:val="009D384A"/>
    <w:rsid w:val="009E7F67"/>
    <w:rsid w:val="009F3D78"/>
    <w:rsid w:val="00A4343C"/>
    <w:rsid w:val="00A7533E"/>
    <w:rsid w:val="00A871CA"/>
    <w:rsid w:val="00A940EA"/>
    <w:rsid w:val="00B56293"/>
    <w:rsid w:val="00B82982"/>
    <w:rsid w:val="00B952E4"/>
    <w:rsid w:val="00BA0E97"/>
    <w:rsid w:val="00BC6110"/>
    <w:rsid w:val="00BD2889"/>
    <w:rsid w:val="00C54AF7"/>
    <w:rsid w:val="00C73711"/>
    <w:rsid w:val="00DB323B"/>
    <w:rsid w:val="00E35E3F"/>
    <w:rsid w:val="00E40D14"/>
    <w:rsid w:val="00EB68F6"/>
    <w:rsid w:val="00EC3E6D"/>
    <w:rsid w:val="00EC49CA"/>
    <w:rsid w:val="00ED2D13"/>
    <w:rsid w:val="00F840F3"/>
    <w:rsid w:val="00FB20E4"/>
  </w:rsids>
  <m:mathPr>
    <m:mathFont m:val="Cambria Math"/>
    <m:brkBin m:val="before"/>
    <m:brkBinSub m:val="--"/>
    <m:smallFrac m:val="0"/>
    <m:dispDef/>
    <m:lMargin m:val="0"/>
    <m:rMargin m:val="0"/>
    <m:defJc m:val="centerGroup"/>
    <m:wrapIndent m:val="1440"/>
    <m:intLim m:val="subSup"/>
    <m:naryLim m:val="undOvr"/>
  </m:mathPr>
  <w:themeFontLang w:val="en-US" w:eastAsia="zh-TW"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2B65"/>
  <w15:chartTrackingRefBased/>
  <w15:docId w15:val="{C4BC257E-A5E5-4271-9790-083FD7FC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lsdException w:name="Note Heading" w:semiHidden="1" w:unhideWhenUsed="1"/>
    <w:lsdException w:name="Body Text 2" w:semiHidden="1" w:uiPriority="9" w:unhideWhenUsed="1"/>
    <w:lsdException w:name="Body Text 3" w:semiHidden="1" w:unhideWhenUsed="1"/>
    <w:lsdException w:name="Body Text Indent 2" w:semiHidden="1" w:unhideWhenUsed="1"/>
    <w:lsdException w:name="Body Text Indent 3" w:semiHidden="1" w:unhideWhenUsed="1"/>
    <w:lsdException w:name="Block Text" w:semiHidden="1" w:uiPriority="10" w:unhideWhenUsed="1" w:qFormat="1"/>
    <w:lsdException w:name="Hyperlink" w:semiHidden="1" w:unhideWhenUsed="1"/>
    <w:lsdException w:name="FollowedHyperlink" w:semiHidden="1" w:unhideWhenUsed="1"/>
    <w:lsdException w:name="Strong" w:semiHidden="1" w:uiPriority="49" w:unhideWhenUsed="1" w:qFormat="1"/>
    <w:lsdException w:name="Emphasis" w:semiHidden="1" w:uiPriority="4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10" w:qFormat="1"/>
    <w:lsdException w:name="Intense Quote" w:semiHidden="1" w:uiPriority="4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49" w:unhideWhenUsed="1"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2982"/>
    <w:pPr>
      <w:spacing w:after="240"/>
      <w:ind w:firstLine="720"/>
      <w:jc w:val="both"/>
    </w:pPr>
    <w:rPr>
      <w:rFonts w:eastAsia="Calibri" w:cs="Times New Roman"/>
    </w:rPr>
  </w:style>
  <w:style w:type="paragraph" w:styleId="Heading1">
    <w:name w:val="heading 1"/>
    <w:basedOn w:val="Normal"/>
    <w:link w:val="Heading1Char"/>
    <w:uiPriority w:val="19"/>
    <w:qFormat/>
    <w:rsid w:val="00507C7B"/>
    <w:pPr>
      <w:numPr>
        <w:numId w:val="27"/>
      </w:numPr>
      <w:outlineLvl w:val="0"/>
    </w:pPr>
    <w:rPr>
      <w:rFonts w:eastAsiaTheme="majorEastAsia"/>
      <w:bCs/>
      <w:color w:val="000000"/>
      <w:szCs w:val="28"/>
    </w:rPr>
  </w:style>
  <w:style w:type="paragraph" w:styleId="Heading2">
    <w:name w:val="heading 2"/>
    <w:basedOn w:val="Normal"/>
    <w:link w:val="Heading2Char"/>
    <w:uiPriority w:val="19"/>
    <w:qFormat/>
    <w:rsid w:val="00507C7B"/>
    <w:pPr>
      <w:numPr>
        <w:ilvl w:val="1"/>
        <w:numId w:val="27"/>
      </w:numPr>
      <w:outlineLvl w:val="1"/>
    </w:pPr>
    <w:rPr>
      <w:rFonts w:eastAsiaTheme="majorEastAsia"/>
      <w:bCs/>
      <w:color w:val="000000"/>
      <w:szCs w:val="26"/>
    </w:rPr>
  </w:style>
  <w:style w:type="paragraph" w:styleId="Heading3">
    <w:name w:val="heading 3"/>
    <w:basedOn w:val="Normal"/>
    <w:link w:val="Heading3Char"/>
    <w:uiPriority w:val="19"/>
    <w:qFormat/>
    <w:rsid w:val="00507C7B"/>
    <w:pPr>
      <w:numPr>
        <w:ilvl w:val="2"/>
        <w:numId w:val="27"/>
      </w:numPr>
      <w:outlineLvl w:val="2"/>
    </w:pPr>
    <w:rPr>
      <w:rFonts w:eastAsiaTheme="majorEastAsia"/>
      <w:bCs/>
      <w:color w:val="000000"/>
    </w:rPr>
  </w:style>
  <w:style w:type="paragraph" w:styleId="Heading4">
    <w:name w:val="heading 4"/>
    <w:basedOn w:val="Normal"/>
    <w:link w:val="Heading4Char"/>
    <w:uiPriority w:val="19"/>
    <w:qFormat/>
    <w:rsid w:val="00507C7B"/>
    <w:pPr>
      <w:numPr>
        <w:ilvl w:val="3"/>
        <w:numId w:val="27"/>
      </w:numPr>
      <w:outlineLvl w:val="3"/>
    </w:pPr>
    <w:rPr>
      <w:rFonts w:eastAsiaTheme="majorEastAsia"/>
      <w:bCs/>
      <w:iCs/>
      <w:color w:val="000000"/>
    </w:rPr>
  </w:style>
  <w:style w:type="paragraph" w:styleId="Heading5">
    <w:name w:val="heading 5"/>
    <w:basedOn w:val="Normal"/>
    <w:link w:val="Heading5Char"/>
    <w:uiPriority w:val="19"/>
    <w:qFormat/>
    <w:rsid w:val="00507C7B"/>
    <w:pPr>
      <w:numPr>
        <w:ilvl w:val="4"/>
        <w:numId w:val="27"/>
      </w:numPr>
      <w:outlineLvl w:val="4"/>
    </w:pPr>
    <w:rPr>
      <w:rFonts w:eastAsiaTheme="majorEastAsia"/>
      <w:color w:val="000000"/>
    </w:rPr>
  </w:style>
  <w:style w:type="paragraph" w:styleId="Heading6">
    <w:name w:val="heading 6"/>
    <w:basedOn w:val="Normal"/>
    <w:link w:val="Heading6Char"/>
    <w:uiPriority w:val="19"/>
    <w:qFormat/>
    <w:rsid w:val="00507C7B"/>
    <w:pPr>
      <w:numPr>
        <w:ilvl w:val="5"/>
        <w:numId w:val="27"/>
      </w:numPr>
      <w:outlineLvl w:val="5"/>
    </w:pPr>
    <w:rPr>
      <w:rFonts w:eastAsiaTheme="majorEastAsia"/>
      <w:iCs/>
      <w:color w:val="000000"/>
    </w:rPr>
  </w:style>
  <w:style w:type="paragraph" w:styleId="Heading7">
    <w:name w:val="heading 7"/>
    <w:basedOn w:val="Normal"/>
    <w:link w:val="Heading7Char"/>
    <w:uiPriority w:val="19"/>
    <w:qFormat/>
    <w:rsid w:val="00507C7B"/>
    <w:pPr>
      <w:numPr>
        <w:ilvl w:val="6"/>
        <w:numId w:val="27"/>
      </w:numPr>
      <w:outlineLvl w:val="6"/>
    </w:pPr>
    <w:rPr>
      <w:rFonts w:eastAsiaTheme="majorEastAsia"/>
      <w:iCs/>
      <w:color w:val="000000"/>
    </w:rPr>
  </w:style>
  <w:style w:type="paragraph" w:styleId="Heading8">
    <w:name w:val="heading 8"/>
    <w:basedOn w:val="Normal"/>
    <w:link w:val="Heading8Char"/>
    <w:uiPriority w:val="19"/>
    <w:qFormat/>
    <w:rsid w:val="00507C7B"/>
    <w:pPr>
      <w:numPr>
        <w:ilvl w:val="7"/>
        <w:numId w:val="27"/>
      </w:numPr>
      <w:outlineLvl w:val="7"/>
    </w:pPr>
    <w:rPr>
      <w:rFonts w:eastAsiaTheme="majorEastAsia"/>
      <w:color w:val="000000"/>
      <w:szCs w:val="20"/>
    </w:rPr>
  </w:style>
  <w:style w:type="paragraph" w:styleId="Heading9">
    <w:name w:val="heading 9"/>
    <w:basedOn w:val="Normal"/>
    <w:link w:val="Heading9Char"/>
    <w:uiPriority w:val="19"/>
    <w:qFormat/>
    <w:rsid w:val="00507C7B"/>
    <w:pPr>
      <w:numPr>
        <w:ilvl w:val="8"/>
        <w:numId w:val="27"/>
      </w:numPr>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0"/>
    <w:qFormat/>
    <w:rsid w:val="00507C7B"/>
    <w:pPr>
      <w:ind w:left="1440" w:right="1440"/>
    </w:pPr>
    <w:rPr>
      <w:rFonts w:eastAsiaTheme="minorEastAsia"/>
      <w:iCs/>
    </w:rPr>
  </w:style>
  <w:style w:type="paragraph" w:styleId="BodyText">
    <w:name w:val="Body Text"/>
    <w:basedOn w:val="Normal"/>
    <w:link w:val="BodyTextChar"/>
    <w:uiPriority w:val="9"/>
    <w:qFormat/>
    <w:rsid w:val="00507C7B"/>
  </w:style>
  <w:style w:type="character" w:customStyle="1" w:styleId="BodyTextChar">
    <w:name w:val="Body Text Char"/>
    <w:basedOn w:val="DefaultParagraphFont"/>
    <w:link w:val="BodyText"/>
    <w:uiPriority w:val="9"/>
    <w:rsid w:val="00507C7B"/>
    <w:rPr>
      <w:rFonts w:ascii="Times New Roman" w:hAnsi="Times New Roman"/>
      <w:sz w:val="24"/>
      <w:szCs w:val="24"/>
    </w:rPr>
  </w:style>
  <w:style w:type="paragraph" w:styleId="BodyText2">
    <w:name w:val="Body Text 2"/>
    <w:basedOn w:val="Normal"/>
    <w:link w:val="BodyText2Char"/>
    <w:uiPriority w:val="9"/>
    <w:rsid w:val="00507C7B"/>
    <w:pPr>
      <w:spacing w:line="480" w:lineRule="auto"/>
    </w:pPr>
  </w:style>
  <w:style w:type="character" w:customStyle="1" w:styleId="BodyText2Char">
    <w:name w:val="Body Text 2 Char"/>
    <w:basedOn w:val="DefaultParagraphFont"/>
    <w:link w:val="BodyText2"/>
    <w:uiPriority w:val="9"/>
    <w:rsid w:val="00507C7B"/>
    <w:rPr>
      <w:rFonts w:ascii="Times New Roman" w:hAnsi="Times New Roman"/>
      <w:sz w:val="24"/>
      <w:szCs w:val="24"/>
    </w:rPr>
  </w:style>
  <w:style w:type="paragraph" w:styleId="BodyTextFirstIndent">
    <w:name w:val="Body Text First Indent"/>
    <w:basedOn w:val="BodyText"/>
    <w:link w:val="BodyTextFirstIndentChar"/>
    <w:uiPriority w:val="9"/>
    <w:qFormat/>
    <w:rsid w:val="00507C7B"/>
  </w:style>
  <w:style w:type="character" w:customStyle="1" w:styleId="BodyTextFirstIndentChar">
    <w:name w:val="Body Text First Indent Char"/>
    <w:basedOn w:val="BodyTextChar"/>
    <w:link w:val="BodyTextFirstIndent"/>
    <w:uiPriority w:val="9"/>
    <w:rsid w:val="00507C7B"/>
    <w:rPr>
      <w:rFonts w:ascii="Times New Roman" w:hAnsi="Times New Roman"/>
      <w:sz w:val="24"/>
      <w:szCs w:val="24"/>
    </w:rPr>
  </w:style>
  <w:style w:type="paragraph" w:styleId="BodyTextIndent">
    <w:name w:val="Body Text Indent"/>
    <w:basedOn w:val="Normal"/>
    <w:link w:val="BodyTextIndentChar"/>
    <w:uiPriority w:val="99"/>
    <w:semiHidden/>
    <w:unhideWhenUsed/>
    <w:rsid w:val="00507C7B"/>
    <w:pPr>
      <w:spacing w:after="120"/>
      <w:ind w:left="360"/>
    </w:pPr>
  </w:style>
  <w:style w:type="character" w:customStyle="1" w:styleId="BodyTextIndentChar">
    <w:name w:val="Body Text Indent Char"/>
    <w:basedOn w:val="DefaultParagraphFont"/>
    <w:link w:val="BodyTextIndent"/>
    <w:uiPriority w:val="99"/>
    <w:semiHidden/>
    <w:rsid w:val="00507C7B"/>
    <w:rPr>
      <w:rFonts w:ascii="Times New Roman" w:hAnsi="Times New Roman"/>
      <w:sz w:val="24"/>
      <w:szCs w:val="24"/>
    </w:rPr>
  </w:style>
  <w:style w:type="paragraph" w:styleId="BodyTextFirstIndent2">
    <w:name w:val="Body Text First Indent 2"/>
    <w:basedOn w:val="BodyTextIndent"/>
    <w:link w:val="BodyTextFirstIndent2Char"/>
    <w:uiPriority w:val="9"/>
    <w:rsid w:val="00507C7B"/>
    <w:pPr>
      <w:spacing w:after="0" w:line="480" w:lineRule="auto"/>
      <w:ind w:left="0"/>
    </w:pPr>
  </w:style>
  <w:style w:type="character" w:customStyle="1" w:styleId="BodyTextFirstIndent2Char">
    <w:name w:val="Body Text First Indent 2 Char"/>
    <w:basedOn w:val="BodyTextIndentChar"/>
    <w:link w:val="BodyTextFirstIndent2"/>
    <w:uiPriority w:val="9"/>
    <w:rsid w:val="00507C7B"/>
    <w:rPr>
      <w:rFonts w:ascii="Times New Roman" w:hAnsi="Times New Roman"/>
      <w:sz w:val="24"/>
      <w:szCs w:val="24"/>
    </w:rPr>
  </w:style>
  <w:style w:type="paragraph" w:styleId="Footer">
    <w:name w:val="footer"/>
    <w:basedOn w:val="Normal"/>
    <w:link w:val="FooterChar"/>
    <w:uiPriority w:val="99"/>
    <w:unhideWhenUsed/>
    <w:rsid w:val="00507C7B"/>
    <w:pPr>
      <w:tabs>
        <w:tab w:val="center" w:pos="4680"/>
        <w:tab w:val="right" w:pos="9360"/>
      </w:tabs>
    </w:pPr>
  </w:style>
  <w:style w:type="character" w:customStyle="1" w:styleId="FooterChar">
    <w:name w:val="Footer Char"/>
    <w:basedOn w:val="DefaultParagraphFont"/>
    <w:link w:val="Footer"/>
    <w:uiPriority w:val="99"/>
    <w:rsid w:val="00507C7B"/>
    <w:rPr>
      <w:rFonts w:ascii="Times New Roman" w:hAnsi="Times New Roman"/>
      <w:sz w:val="24"/>
      <w:szCs w:val="24"/>
    </w:rPr>
  </w:style>
  <w:style w:type="paragraph" w:styleId="Header">
    <w:name w:val="header"/>
    <w:basedOn w:val="Normal"/>
    <w:link w:val="HeaderChar"/>
    <w:uiPriority w:val="99"/>
    <w:unhideWhenUsed/>
    <w:rsid w:val="00507C7B"/>
    <w:pPr>
      <w:tabs>
        <w:tab w:val="center" w:pos="4680"/>
        <w:tab w:val="right" w:pos="9360"/>
      </w:tabs>
    </w:pPr>
  </w:style>
  <w:style w:type="character" w:customStyle="1" w:styleId="HeaderChar">
    <w:name w:val="Header Char"/>
    <w:basedOn w:val="DefaultParagraphFont"/>
    <w:link w:val="Header"/>
    <w:uiPriority w:val="99"/>
    <w:rsid w:val="00507C7B"/>
    <w:rPr>
      <w:rFonts w:ascii="Times New Roman" w:hAnsi="Times New Roman"/>
      <w:sz w:val="24"/>
      <w:szCs w:val="24"/>
    </w:rPr>
  </w:style>
  <w:style w:type="character" w:customStyle="1" w:styleId="Heading1Char">
    <w:name w:val="Heading 1 Char"/>
    <w:basedOn w:val="DefaultParagraphFont"/>
    <w:link w:val="Heading1"/>
    <w:uiPriority w:val="19"/>
    <w:rsid w:val="00507C7B"/>
    <w:rPr>
      <w:rFonts w:ascii="Times New Roman" w:eastAsiaTheme="majorEastAsia" w:hAnsi="Times New Roman" w:cs="Times New Roman"/>
      <w:bCs/>
      <w:color w:val="000000"/>
      <w:sz w:val="24"/>
      <w:szCs w:val="28"/>
    </w:rPr>
  </w:style>
  <w:style w:type="character" w:customStyle="1" w:styleId="Heading2Char">
    <w:name w:val="Heading 2 Char"/>
    <w:basedOn w:val="DefaultParagraphFont"/>
    <w:link w:val="Heading2"/>
    <w:uiPriority w:val="19"/>
    <w:rsid w:val="00507C7B"/>
    <w:rPr>
      <w:rFonts w:ascii="Times New Roman" w:eastAsiaTheme="majorEastAsia" w:hAnsi="Times New Roman" w:cs="Times New Roman"/>
      <w:bCs/>
      <w:color w:val="000000"/>
      <w:sz w:val="24"/>
      <w:szCs w:val="26"/>
    </w:rPr>
  </w:style>
  <w:style w:type="character" w:customStyle="1" w:styleId="Heading3Char">
    <w:name w:val="Heading 3 Char"/>
    <w:basedOn w:val="DefaultParagraphFont"/>
    <w:link w:val="Heading3"/>
    <w:uiPriority w:val="19"/>
    <w:rsid w:val="00507C7B"/>
    <w:rPr>
      <w:rFonts w:ascii="Times New Roman" w:eastAsiaTheme="majorEastAsia" w:hAnsi="Times New Roman" w:cs="Times New Roman"/>
      <w:bCs/>
      <w:color w:val="000000"/>
      <w:sz w:val="24"/>
      <w:szCs w:val="24"/>
    </w:rPr>
  </w:style>
  <w:style w:type="character" w:customStyle="1" w:styleId="Heading4Char">
    <w:name w:val="Heading 4 Char"/>
    <w:basedOn w:val="DefaultParagraphFont"/>
    <w:link w:val="Heading4"/>
    <w:uiPriority w:val="19"/>
    <w:rsid w:val="00507C7B"/>
    <w:rPr>
      <w:rFonts w:ascii="Times New Roman" w:eastAsiaTheme="majorEastAsia" w:hAnsi="Times New Roman" w:cs="Times New Roman"/>
      <w:bCs/>
      <w:iCs/>
      <w:color w:val="000000"/>
      <w:sz w:val="24"/>
      <w:szCs w:val="24"/>
    </w:rPr>
  </w:style>
  <w:style w:type="character" w:customStyle="1" w:styleId="Heading5Char">
    <w:name w:val="Heading 5 Char"/>
    <w:basedOn w:val="DefaultParagraphFont"/>
    <w:link w:val="Heading5"/>
    <w:uiPriority w:val="19"/>
    <w:rsid w:val="00507C7B"/>
    <w:rPr>
      <w:rFonts w:ascii="Times New Roman" w:eastAsiaTheme="majorEastAsia" w:hAnsi="Times New Roman" w:cs="Times New Roman"/>
      <w:color w:val="000000"/>
      <w:sz w:val="24"/>
      <w:szCs w:val="24"/>
    </w:rPr>
  </w:style>
  <w:style w:type="character" w:customStyle="1" w:styleId="Heading6Char">
    <w:name w:val="Heading 6 Char"/>
    <w:basedOn w:val="DefaultParagraphFont"/>
    <w:link w:val="Heading6"/>
    <w:uiPriority w:val="19"/>
    <w:rsid w:val="00507C7B"/>
    <w:rPr>
      <w:rFonts w:ascii="Times New Roman" w:eastAsiaTheme="majorEastAsia" w:hAnsi="Times New Roman" w:cs="Times New Roman"/>
      <w:iCs/>
      <w:color w:val="000000"/>
      <w:sz w:val="24"/>
      <w:szCs w:val="24"/>
    </w:rPr>
  </w:style>
  <w:style w:type="character" w:customStyle="1" w:styleId="Heading7Char">
    <w:name w:val="Heading 7 Char"/>
    <w:basedOn w:val="DefaultParagraphFont"/>
    <w:link w:val="Heading7"/>
    <w:uiPriority w:val="19"/>
    <w:rsid w:val="00507C7B"/>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uiPriority w:val="19"/>
    <w:rsid w:val="00507C7B"/>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uiPriority w:val="19"/>
    <w:rsid w:val="00507C7B"/>
    <w:rPr>
      <w:rFonts w:ascii="Times New Roman" w:eastAsiaTheme="majorEastAsia" w:hAnsi="Times New Roman" w:cs="Times New Roman"/>
      <w:iCs/>
      <w:color w:val="000000"/>
      <w:sz w:val="24"/>
      <w:szCs w:val="20"/>
    </w:rPr>
  </w:style>
  <w:style w:type="paragraph" w:styleId="ListParagraph">
    <w:name w:val="List Paragraph"/>
    <w:basedOn w:val="Normal"/>
    <w:uiPriority w:val="29"/>
    <w:rsid w:val="00507C7B"/>
    <w:pPr>
      <w:contextualSpacing/>
    </w:pPr>
  </w:style>
  <w:style w:type="paragraph" w:styleId="Quote">
    <w:name w:val="Quote"/>
    <w:basedOn w:val="Normal"/>
    <w:next w:val="Normal"/>
    <w:link w:val="QuoteChar"/>
    <w:uiPriority w:val="10"/>
    <w:rsid w:val="00507C7B"/>
    <w:pPr>
      <w:ind w:left="720" w:right="720"/>
    </w:pPr>
    <w:rPr>
      <w:iCs/>
      <w:color w:val="000000" w:themeColor="text1"/>
    </w:rPr>
  </w:style>
  <w:style w:type="character" w:customStyle="1" w:styleId="QuoteChar">
    <w:name w:val="Quote Char"/>
    <w:basedOn w:val="DefaultParagraphFont"/>
    <w:link w:val="Quote"/>
    <w:uiPriority w:val="10"/>
    <w:rsid w:val="00507C7B"/>
    <w:rPr>
      <w:rFonts w:ascii="Times New Roman" w:hAnsi="Times New Roman"/>
      <w:iCs/>
      <w:color w:val="000000" w:themeColor="text1"/>
      <w:sz w:val="24"/>
      <w:szCs w:val="24"/>
    </w:rPr>
  </w:style>
  <w:style w:type="paragraph" w:styleId="Signature">
    <w:name w:val="Signature"/>
    <w:basedOn w:val="Normal"/>
    <w:link w:val="SignatureChar"/>
    <w:uiPriority w:val="29"/>
    <w:qFormat/>
    <w:rsid w:val="00507C7B"/>
    <w:pPr>
      <w:keepLines/>
      <w:tabs>
        <w:tab w:val="left" w:leader="underscore" w:pos="9360"/>
      </w:tabs>
      <w:ind w:left="4680"/>
    </w:pPr>
  </w:style>
  <w:style w:type="character" w:customStyle="1" w:styleId="SignatureChar">
    <w:name w:val="Signature Char"/>
    <w:basedOn w:val="DefaultParagraphFont"/>
    <w:link w:val="Signature"/>
    <w:uiPriority w:val="29"/>
    <w:rsid w:val="00507C7B"/>
    <w:rPr>
      <w:rFonts w:ascii="Times New Roman" w:hAnsi="Times New Roman"/>
      <w:sz w:val="24"/>
      <w:szCs w:val="24"/>
    </w:rPr>
  </w:style>
  <w:style w:type="paragraph" w:customStyle="1" w:styleId="SignatureBy">
    <w:name w:val="Signature By"/>
    <w:basedOn w:val="Normal"/>
    <w:link w:val="SignatureByChar"/>
    <w:uiPriority w:val="29"/>
    <w:qFormat/>
    <w:rsid w:val="00507C7B"/>
    <w:pPr>
      <w:keepLines/>
      <w:tabs>
        <w:tab w:val="left" w:leader="underscore" w:pos="9360"/>
      </w:tabs>
      <w:ind w:left="5040" w:hanging="360"/>
    </w:pPr>
  </w:style>
  <w:style w:type="character" w:customStyle="1" w:styleId="SignatureByChar">
    <w:name w:val="Signature By Char"/>
    <w:basedOn w:val="DefaultParagraphFont"/>
    <w:link w:val="SignatureBy"/>
    <w:uiPriority w:val="29"/>
    <w:rsid w:val="00507C7B"/>
    <w:rPr>
      <w:rFonts w:ascii="Times New Roman" w:hAnsi="Times New Roman"/>
      <w:sz w:val="24"/>
      <w:szCs w:val="24"/>
    </w:rPr>
  </w:style>
  <w:style w:type="paragraph" w:styleId="Subtitle">
    <w:name w:val="Subtitle"/>
    <w:basedOn w:val="Normal"/>
    <w:link w:val="SubtitleChar"/>
    <w:uiPriority w:val="15"/>
    <w:qFormat/>
    <w:rsid w:val="00507C7B"/>
    <w:pPr>
      <w:keepNext/>
      <w:numPr>
        <w:ilvl w:val="1"/>
      </w:numPr>
      <w:ind w:firstLine="720"/>
      <w:contextualSpacing/>
    </w:pPr>
    <w:rPr>
      <w:rFonts w:eastAsiaTheme="majorEastAsia" w:cstheme="majorBidi"/>
      <w:b/>
      <w:iCs/>
    </w:rPr>
  </w:style>
  <w:style w:type="character" w:customStyle="1" w:styleId="SubtitleChar">
    <w:name w:val="Subtitle Char"/>
    <w:basedOn w:val="DefaultParagraphFont"/>
    <w:link w:val="Subtitle"/>
    <w:uiPriority w:val="15"/>
    <w:rsid w:val="00507C7B"/>
    <w:rPr>
      <w:rFonts w:ascii="Times New Roman" w:eastAsiaTheme="majorEastAsia" w:hAnsi="Times New Roman" w:cstheme="majorBidi"/>
      <w:b/>
      <w:iCs/>
      <w:sz w:val="24"/>
      <w:szCs w:val="24"/>
    </w:rPr>
  </w:style>
  <w:style w:type="paragraph" w:styleId="Title">
    <w:name w:val="Title"/>
    <w:basedOn w:val="Normal"/>
    <w:link w:val="TitleChar"/>
    <w:uiPriority w:val="14"/>
    <w:qFormat/>
    <w:rsid w:val="00507C7B"/>
    <w:pPr>
      <w:keepNext/>
      <w:contextualSpacing/>
      <w:jc w:val="center"/>
    </w:pPr>
    <w:rPr>
      <w:rFonts w:eastAsiaTheme="majorEastAsia" w:cstheme="majorBidi"/>
      <w:b/>
      <w:caps/>
      <w:szCs w:val="52"/>
    </w:rPr>
  </w:style>
  <w:style w:type="character" w:customStyle="1" w:styleId="TitleChar">
    <w:name w:val="Title Char"/>
    <w:basedOn w:val="DefaultParagraphFont"/>
    <w:link w:val="Title"/>
    <w:uiPriority w:val="14"/>
    <w:rsid w:val="00507C7B"/>
    <w:rPr>
      <w:rFonts w:ascii="Times New Roman" w:eastAsiaTheme="majorEastAsia" w:hAnsi="Times New Roman" w:cstheme="majorBidi"/>
      <w:b/>
      <w:caps/>
      <w:sz w:val="24"/>
      <w:szCs w:val="52"/>
    </w:rPr>
  </w:style>
  <w:style w:type="table" w:customStyle="1" w:styleId="TableGrid21">
    <w:name w:val="Table Grid21"/>
    <w:basedOn w:val="TableNormal"/>
    <w:next w:val="TableGrid"/>
    <w:rsid w:val="00B82982"/>
    <w:pPr>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82982"/>
    <w:rPr>
      <w:rFonts w:ascii="Arial" w:eastAsia="Arial"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625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25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12394">
      <w:bodyDiv w:val="1"/>
      <w:marLeft w:val="0"/>
      <w:marRight w:val="0"/>
      <w:marTop w:val="0"/>
      <w:marBottom w:val="0"/>
      <w:divBdr>
        <w:top w:val="none" w:sz="0" w:space="0" w:color="auto"/>
        <w:left w:val="none" w:sz="0" w:space="0" w:color="auto"/>
        <w:bottom w:val="none" w:sz="0" w:space="0" w:color="auto"/>
        <w:right w:val="none" w:sz="0" w:space="0" w:color="auto"/>
      </w:divBdr>
    </w:div>
    <w:div w:id="71644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 J W D O C S ! 4 1 6 2 4 4 0 8 . 1 < / d o c u m e n t i d >  
     < s e n d e r i d > N H I N O J O S A < / s e n d e r i d >  
     < s e n d e r e m a i l > N H I N O J O S A @ J W . C O M < / s e n d e r e m a i l >  
     < l a s t m o d i f i e d > 2 0 2 4 - 0 8 - 2 7 T 1 4 : 5 3 : 0 0 . 0 0 0 0 0 0 0 - 0 5 : 0 0 < / l a s t m o d i f i e d >  
     < d a t a b a s e > J W D O C S 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9BD24AC3FD64B9872155C706D0CA0" ma:contentTypeVersion="13" ma:contentTypeDescription="Create a new document." ma:contentTypeScope="" ma:versionID="768b9077657e04d350c19c763ff6bde7">
  <xsd:schema xmlns:xsd="http://www.w3.org/2001/XMLSchema" xmlns:xs="http://www.w3.org/2001/XMLSchema" xmlns:p="http://schemas.microsoft.com/office/2006/metadata/properties" xmlns:ns2="4e7748ee-1207-42d5-b7f4-96c3592895e1" xmlns:ns3="fc1b9f40-66b1-489a-8be8-c933266a7781" targetNamespace="http://schemas.microsoft.com/office/2006/metadata/properties" ma:root="true" ma:fieldsID="4f1a728f7e7a7af784bfc71974eaad1a" ns2:_="" ns3:_="">
    <xsd:import namespace="4e7748ee-1207-42d5-b7f4-96c3592895e1"/>
    <xsd:import namespace="fc1b9f40-66b1-489a-8be8-c933266a77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8ee-1207-42d5-b7f4-96c359289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da40f94-4710-4a76-8b7a-3ad9f1d996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1b9f40-66b1-489a-8be8-c933266a77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c3fff75-ac4a-4fe8-80f1-9f804948a62e}" ma:internalName="TaxCatchAll" ma:showField="CatchAllData" ma:web="fc1b9f40-66b1-489a-8be8-c933266a77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1b9f40-66b1-489a-8be8-c933266a7781" xsi:nil="true"/>
    <lcf76f155ced4ddcb4097134ff3c332f xmlns="4e7748ee-1207-42d5-b7f4-96c3592895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F46BE4-423A-47BE-AC4B-A9B662A8A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748ee-1207-42d5-b7f4-96c3592895e1"/>
    <ds:schemaRef ds:uri="fc1b9f40-66b1-489a-8be8-c933266a7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BD4ED-F1B1-429A-B641-5C938726C84A}">
  <ds:schemaRefs>
    <ds:schemaRef ds:uri="http://schemas.microsoft.com/sharepoint/v3/contenttype/forms"/>
  </ds:schemaRefs>
</ds:datastoreItem>
</file>

<file path=customXml/itemProps3.xml><?xml version="1.0" encoding="utf-8"?>
<ds:datastoreItem xmlns:ds="http://schemas.openxmlformats.org/officeDocument/2006/customXml" ds:itemID="{016CF3E6-3285-45CA-A8B6-87C216477D31}">
  <ds:schemaRefs>
    <ds:schemaRef ds:uri="http://purl.org/dc/elements/1.1/"/>
    <ds:schemaRef ds:uri="http://purl.org/dc/terms/"/>
    <ds:schemaRef ds:uri="http://www.w3.org/XML/1998/namespace"/>
    <ds:schemaRef ds:uri="http://schemas.microsoft.com/office/2006/documentManagement/types"/>
    <ds:schemaRef ds:uri="4e7748ee-1207-42d5-b7f4-96c3592895e1"/>
    <ds:schemaRef ds:uri="fc1b9f40-66b1-489a-8be8-c933266a778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4083</Characters>
  <Application>Microsoft Office Word</Application>
  <DocSecurity>0</DocSecurity>
  <Lines>170</Lines>
  <Paragraphs>111</Paragraphs>
  <ScaleCrop>false</ScaleCrop>
  <HeadingPairs>
    <vt:vector size="2" baseType="variant">
      <vt:variant>
        <vt:lpstr>Title</vt:lpstr>
      </vt:variant>
      <vt:variant>
        <vt:i4>1</vt:i4>
      </vt:variant>
    </vt:vector>
  </HeadingPairs>
  <TitlesOfParts>
    <vt:vector size="1" baseType="lpstr">
      <vt:lpstr/>
    </vt:vector>
  </TitlesOfParts>
  <Company>Jackson Walker LLP</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Hinojosa III, Noe</dc:creator>
  <cp:keywords/>
  <dc:description/>
  <cp:lastModifiedBy>Hinojosa III, Noe</cp:lastModifiedBy>
  <cp:revision>4</cp:revision>
  <cp:lastPrinted>2024-08-27T16:39:00Z</cp:lastPrinted>
  <dcterms:created xsi:type="dcterms:W3CDTF">2024-08-27T19:53:00Z</dcterms:created>
  <dcterms:modified xsi:type="dcterms:W3CDTF">2024-08-27T19:53:00Z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0x0101001299BD24AC3FD64B9872155C706D0CA0</vt:lpwstr>
  </property>
  <property fmtid="{D5CDD505-2E9C-101B-9397-08002B2CF9AE}" pid="3" name="SWDocID">
    <vt:lpwstr>41624408v.1</vt:lpwstr>
  </property>
</Properties>
</file>